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rPr>
          <w:rFonts w:hint="default" w:ascii="Arial" w:hAnsi="Arial" w:cs="Arial"/>
          <w:b/>
          <w:sz w:val="24"/>
          <w:lang w:val="en-US" w:eastAsia="zh-CN"/>
        </w:rPr>
      </w:pPr>
      <w:r>
        <w:rPr>
          <w:rFonts w:ascii="Arial" w:hAnsi="Arial" w:cs="Arial"/>
          <w:b/>
          <w:sz w:val="24"/>
          <w:szCs w:val="24"/>
          <w:lang w:val="en-US" w:eastAsia="zh-CN"/>
        </w:rPr>
        <w:t>3GPP TSG-RAN WG4 Meeting #114</w:t>
      </w:r>
      <w:r>
        <w:rPr>
          <w:rFonts w:ascii="Arial" w:hAnsi="Arial" w:cs="Arial"/>
          <w:b/>
          <w:i/>
          <w:sz w:val="24"/>
          <w:lang w:eastAsia="zh-CN"/>
        </w:rPr>
        <w:tab/>
      </w:r>
      <w:r>
        <w:rPr>
          <w:rFonts w:ascii="Arial" w:hAnsi="Arial" w:cs="Arial"/>
          <w:b/>
          <w:sz w:val="24"/>
          <w:lang w:eastAsia="zh-CN"/>
        </w:rPr>
        <w:t>R4-250</w:t>
      </w:r>
      <w:r>
        <w:rPr>
          <w:rFonts w:hint="eastAsia" w:ascii="Arial" w:hAnsi="Arial" w:cs="Arial"/>
          <w:b/>
          <w:sz w:val="24"/>
          <w:lang w:val="en-US" w:eastAsia="zh-CN"/>
        </w:rPr>
        <w:t>2694</w:t>
      </w:r>
    </w:p>
    <w:p>
      <w:pPr>
        <w:pStyle w:val="19"/>
        <w:tabs>
          <w:tab w:val="left" w:pos="2160"/>
        </w:tabs>
        <w:ind w:left="2127" w:hanging="2127"/>
        <w:jc w:val="both"/>
        <w:rPr>
          <w:rFonts w:ascii="Arial" w:hAnsi="Arial" w:cs="Arial"/>
          <w:b/>
          <w:sz w:val="24"/>
          <w:lang w:val="en-US" w:eastAsia="zh-CN"/>
        </w:rPr>
      </w:pPr>
      <w:r>
        <w:rPr>
          <w:rFonts w:ascii="Arial" w:hAnsi="Arial" w:cs="Arial"/>
          <w:b/>
          <w:sz w:val="24"/>
          <w:szCs w:val="24"/>
        </w:rPr>
        <w:t>Athens, Greece, 17 – 21 February, 2025</w:t>
      </w:r>
    </w:p>
    <w:p>
      <w:pPr>
        <w:jc w:val="both"/>
        <w:rPr>
          <w:rFonts w:ascii="Arial" w:hAnsi="Arial" w:cs="Arial"/>
        </w:rPr>
      </w:pPr>
    </w:p>
    <w:p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LS on </w:t>
      </w:r>
      <w:r>
        <w:rPr>
          <w:rFonts w:hint="eastAsia" w:ascii="Arial" w:hAnsi="Arial" w:cs="Arial"/>
          <w:b/>
          <w:lang w:val="en-US" w:eastAsia="zh-CN"/>
        </w:rPr>
        <w:t>neighboring cell measurement for Rel-18 SSB-less</w:t>
      </w:r>
    </w:p>
    <w:p>
      <w:pPr>
        <w:spacing w:after="60"/>
        <w:ind w:left="1985" w:hanging="1985"/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>
      <w:pPr>
        <w:spacing w:after="60"/>
        <w:ind w:left="1985" w:hanging="1985"/>
        <w:jc w:val="both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hint="eastAsia" w:ascii="Arial" w:hAnsi="Arial" w:cs="Arial"/>
          <w:bCs/>
          <w:lang w:eastAsia="ja-JP"/>
        </w:rPr>
        <w:t>Release 1</w:t>
      </w:r>
      <w:r>
        <w:rPr>
          <w:rFonts w:hint="eastAsia" w:ascii="Arial" w:hAnsi="Arial" w:cs="Arial"/>
          <w:bCs/>
          <w:lang w:val="en-US" w:eastAsia="zh-CN"/>
        </w:rPr>
        <w:t>8</w:t>
      </w:r>
    </w:p>
    <w:p>
      <w:pPr>
        <w:spacing w:after="60"/>
        <w:ind w:left="1985" w:hanging="1985"/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Netw_Energy_NR</w:t>
      </w:r>
    </w:p>
    <w:p>
      <w:pPr>
        <w:spacing w:after="60"/>
        <w:ind w:left="1985" w:hanging="1985"/>
        <w:jc w:val="both"/>
        <w:rPr>
          <w:rFonts w:ascii="Arial" w:hAnsi="Arial" w:cs="Arial"/>
          <w:b/>
        </w:rPr>
      </w:pPr>
      <w:bookmarkStart w:id="0" w:name="_GoBack"/>
      <w:bookmarkEnd w:id="0"/>
    </w:p>
    <w:p>
      <w:pPr>
        <w:spacing w:after="60"/>
        <w:ind w:left="1985" w:hanging="1985"/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>
        <w:rPr>
          <w:rFonts w:ascii="Arial" w:hAnsi="Arial" w:cs="Arial"/>
          <w:bCs/>
          <w:lang w:eastAsia="ja-JP"/>
        </w:rPr>
        <w:t>RAN4</w:t>
      </w:r>
    </w:p>
    <w:p>
      <w:pPr>
        <w:spacing w:after="60"/>
        <w:ind w:left="1985" w:hanging="1985"/>
        <w:jc w:val="both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RAN</w:t>
      </w:r>
      <w:r>
        <w:rPr>
          <w:rFonts w:hint="eastAsia" w:ascii="Arial" w:hAnsi="Arial" w:cs="Arial"/>
          <w:bCs/>
          <w:lang w:val="en-US" w:eastAsia="zh-CN"/>
        </w:rPr>
        <w:t>2</w:t>
      </w:r>
    </w:p>
    <w:p>
      <w:pPr>
        <w:spacing w:after="60"/>
        <w:ind w:left="1985" w:hanging="1985"/>
        <w:jc w:val="both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 xml:space="preserve">Cc:                             </w:t>
      </w:r>
      <w:r>
        <w:rPr>
          <w:rFonts w:ascii="Arial" w:hAnsi="Arial" w:cs="Arial"/>
          <w:bCs/>
        </w:rPr>
        <w:tab/>
      </w:r>
    </w:p>
    <w:p>
      <w:pPr>
        <w:spacing w:after="60"/>
        <w:ind w:left="1985" w:hanging="1985"/>
        <w:jc w:val="both"/>
        <w:rPr>
          <w:rFonts w:ascii="Arial" w:hAnsi="Arial" w:cs="Arial"/>
          <w:bCs/>
        </w:rPr>
      </w:pPr>
    </w:p>
    <w:p>
      <w:pPr>
        <w:tabs>
          <w:tab w:val="left" w:pos="2268"/>
        </w:tabs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>
      <w:pPr>
        <w:pStyle w:val="5"/>
        <w:tabs>
          <w:tab w:val="left" w:pos="2268"/>
        </w:tabs>
        <w:ind w:left="567"/>
        <w:jc w:val="both"/>
        <w:rPr>
          <w:rFonts w:eastAsia="宋体" w:cs="Arial"/>
          <w:b w:val="0"/>
          <w:bCs/>
          <w:lang w:val="en-US" w:eastAsia="zh-CN"/>
        </w:rPr>
      </w:pPr>
      <w:r>
        <w:rPr>
          <w:rFonts w:cs="Arial"/>
          <w:lang w:val="en-US"/>
        </w:rPr>
        <w:t>Name:</w:t>
      </w:r>
      <w:r>
        <w:rPr>
          <w:rFonts w:cs="Arial"/>
          <w:b w:val="0"/>
          <w:bCs/>
          <w:lang w:val="en-US"/>
        </w:rPr>
        <w:tab/>
      </w:r>
      <w:r>
        <w:rPr>
          <w:rFonts w:hint="eastAsia" w:cs="Arial"/>
          <w:b w:val="0"/>
          <w:bCs/>
          <w:lang w:val="en-US" w:eastAsia="zh-CN"/>
        </w:rPr>
        <w:t>Chenchen</w:t>
      </w:r>
      <w:r>
        <w:rPr>
          <w:rFonts w:cs="Arial"/>
          <w:b w:val="0"/>
          <w:bCs/>
          <w:lang w:val="en-US" w:eastAsia="ja-JP"/>
        </w:rPr>
        <w:t xml:space="preserve"> Zhang</w:t>
      </w:r>
    </w:p>
    <w:p>
      <w:pPr>
        <w:pStyle w:val="8"/>
        <w:tabs>
          <w:tab w:val="left" w:pos="2268"/>
        </w:tabs>
        <w:ind w:left="567"/>
        <w:jc w:val="both"/>
        <w:rPr>
          <w:rFonts w:cs="Arial"/>
          <w:b w:val="0"/>
          <w:bCs/>
          <w:color w:val="auto"/>
        </w:rPr>
      </w:pPr>
      <w:r>
        <w:rPr>
          <w:rFonts w:cs="Arial"/>
          <w:color w:val="auto"/>
        </w:rPr>
        <w:t>E-mail Address:</w:t>
      </w:r>
      <w:r>
        <w:rPr>
          <w:rFonts w:cs="Arial"/>
          <w:b w:val="0"/>
          <w:bCs/>
          <w:color w:val="auto"/>
        </w:rPr>
        <w:tab/>
      </w:r>
      <w:r>
        <w:fldChar w:fldCharType="begin"/>
      </w:r>
      <w:r>
        <w:instrText xml:space="preserve"> HYPERLINK "mailto:zhangli164@huawei.com" </w:instrText>
      </w:r>
      <w:r>
        <w:fldChar w:fldCharType="separate"/>
      </w:r>
      <w:r>
        <w:rPr>
          <w:rStyle w:val="28"/>
          <w:rFonts w:hint="eastAsia" w:cs="Arial"/>
          <w:b w:val="0"/>
          <w:lang w:val="en-US" w:eastAsia="zh-CN"/>
        </w:rPr>
        <w:t>zhang.chenchen</w:t>
      </w:r>
      <w:r>
        <w:rPr>
          <w:rStyle w:val="28"/>
          <w:rFonts w:cs="Arial"/>
          <w:b w:val="0"/>
          <w:lang w:eastAsia="ja-JP"/>
        </w:rPr>
        <w:t>@</w:t>
      </w:r>
      <w:r>
        <w:rPr>
          <w:rStyle w:val="28"/>
          <w:rFonts w:hint="eastAsia" w:cs="Arial"/>
          <w:b w:val="0"/>
          <w:lang w:val="en-US" w:eastAsia="zh-CN"/>
        </w:rPr>
        <w:t>z</w:t>
      </w:r>
      <w:r>
        <w:rPr>
          <w:rStyle w:val="28"/>
          <w:rFonts w:hint="eastAsia" w:cs="Arial"/>
          <w:b w:val="0"/>
          <w:lang w:val="en-US" w:eastAsia="zh-CN"/>
        </w:rPr>
        <w:fldChar w:fldCharType="end"/>
      </w:r>
      <w:r>
        <w:rPr>
          <w:rStyle w:val="28"/>
          <w:rFonts w:hint="eastAsia" w:cs="Arial"/>
          <w:b w:val="0"/>
          <w:lang w:val="en-US" w:eastAsia="zh-CN"/>
        </w:rPr>
        <w:t>te.com.cn</w:t>
      </w:r>
      <w:r>
        <w:rPr>
          <w:rFonts w:cs="Arial"/>
          <w:b w:val="0"/>
          <w:color w:val="auto"/>
          <w:lang w:eastAsia="ja-JP"/>
        </w:rPr>
        <w:t xml:space="preserve"> </w:t>
      </w:r>
    </w:p>
    <w:p>
      <w:pPr>
        <w:spacing w:after="60"/>
        <w:ind w:left="1985" w:hanging="1985"/>
        <w:jc w:val="both"/>
        <w:rPr>
          <w:rFonts w:ascii="Arial" w:hAnsi="Arial" w:cs="Arial"/>
          <w:b/>
        </w:rPr>
      </w:pPr>
    </w:p>
    <w:p>
      <w:pPr>
        <w:pBdr>
          <w:bottom w:val="single" w:color="auto" w:sz="4" w:space="1"/>
        </w:pBdr>
        <w:jc w:val="both"/>
        <w:rPr>
          <w:rFonts w:ascii="Arial" w:hAnsi="Arial" w:cs="Arial"/>
        </w:rPr>
      </w:pPr>
    </w:p>
    <w:p>
      <w:pPr>
        <w:jc w:val="both"/>
        <w:rPr>
          <w:rFonts w:ascii="Arial" w:hAnsi="Arial" w:cs="Arial"/>
        </w:rPr>
      </w:pPr>
    </w:p>
    <w:p>
      <w:pPr>
        <w:pStyle w:val="54"/>
        <w:numPr>
          <w:ilvl w:val="0"/>
          <w:numId w:val="7"/>
        </w:num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Overall Description:</w:t>
      </w:r>
    </w:p>
    <w:p>
      <w:pPr>
        <w:spacing w:before="120" w:beforeLines="50" w:after="120" w:afterLines="50"/>
        <w:rPr>
          <w:rFonts w:ascii="Arial" w:hAnsi="Arial" w:eastAsia="宋体" w:cs="Arial"/>
          <w:sz w:val="22"/>
          <w:lang w:val="en-US" w:eastAsia="zh-CN"/>
        </w:rPr>
      </w:pPr>
      <w:r>
        <w:rPr>
          <w:rFonts w:ascii="Arial" w:hAnsi="Arial" w:eastAsia="宋体" w:cs="Arial"/>
          <w:sz w:val="22"/>
          <w:lang w:eastAsia="zh-CN"/>
        </w:rPr>
        <w:t xml:space="preserve">RAN4 is discussing </w:t>
      </w:r>
      <w:r>
        <w:rPr>
          <w:rFonts w:hint="eastAsia" w:ascii="Arial" w:hAnsi="Arial" w:eastAsia="宋体" w:cs="Arial"/>
          <w:sz w:val="22"/>
          <w:lang w:val="en-US" w:eastAsia="zh-CN"/>
        </w:rPr>
        <w:t xml:space="preserve">the SSB based neighbour cell measurement </w:t>
      </w:r>
      <w:r>
        <w:rPr>
          <w:rFonts w:ascii="Arial" w:hAnsi="Arial" w:eastAsia="宋体" w:cs="Arial"/>
          <w:sz w:val="22"/>
          <w:lang w:val="en-US" w:eastAsia="zh-CN"/>
        </w:rPr>
        <w:t>on</w:t>
      </w:r>
      <w:r>
        <w:rPr>
          <w:rFonts w:hint="eastAsia" w:ascii="Arial" w:hAnsi="Arial" w:eastAsia="宋体" w:cs="Arial"/>
          <w:sz w:val="22"/>
          <w:lang w:val="en-US" w:eastAsia="zh-CN"/>
        </w:rPr>
        <w:t xml:space="preserve"> the </w:t>
      </w:r>
      <w:r>
        <w:rPr>
          <w:rFonts w:ascii="Arial" w:hAnsi="Arial" w:eastAsia="宋体" w:cs="Arial"/>
          <w:sz w:val="22"/>
          <w:lang w:val="en-US" w:eastAsia="zh-CN"/>
        </w:rPr>
        <w:t xml:space="preserve">carrier </w:t>
      </w:r>
      <w:r>
        <w:rPr>
          <w:rFonts w:hint="eastAsia" w:ascii="Arial" w:hAnsi="Arial" w:eastAsia="宋体" w:cs="Arial"/>
          <w:sz w:val="22"/>
          <w:lang w:val="en-US" w:eastAsia="zh-CN"/>
        </w:rPr>
        <w:t xml:space="preserve">frequency of SSB-less SCell. From RAN4 understanding, the definition of intra-frequency/inter-frequency measurement, whether MG is needed and which requirements apply depends on whether </w:t>
      </w:r>
      <w:r>
        <w:rPr>
          <w:rFonts w:hint="eastAsia" w:ascii="Arial" w:hAnsi="Arial" w:eastAsia="宋体" w:cs="Arial"/>
          <w:i/>
          <w:iCs/>
          <w:sz w:val="22"/>
          <w:lang w:val="en-US" w:eastAsia="zh-CN"/>
        </w:rPr>
        <w:t xml:space="preserve">servingCellMO </w:t>
      </w:r>
      <w:r>
        <w:rPr>
          <w:rFonts w:hint="eastAsia" w:ascii="Arial" w:hAnsi="Arial" w:eastAsia="宋体" w:cs="Arial"/>
          <w:sz w:val="22"/>
          <w:lang w:val="en-US" w:eastAsia="zh-CN"/>
        </w:rPr>
        <w:t xml:space="preserve">is present or not. </w:t>
      </w:r>
    </w:p>
    <w:p>
      <w:pPr>
        <w:spacing w:after="120" w:afterLines="50"/>
        <w:rPr>
          <w:rFonts w:ascii="Arial" w:hAnsi="Arial" w:eastAsia="宋体" w:cs="Arial"/>
          <w:sz w:val="22"/>
          <w:lang w:val="en-US" w:eastAsia="zh-CN"/>
        </w:rPr>
      </w:pPr>
      <w:r>
        <w:rPr>
          <w:rFonts w:hint="eastAsia" w:ascii="Arial" w:hAnsi="Arial" w:eastAsia="宋体" w:cs="Arial"/>
          <w:sz w:val="22"/>
          <w:lang w:val="en-US" w:eastAsia="zh-CN"/>
        </w:rPr>
        <w:t>Based on the agreements in RAN4#11</w:t>
      </w:r>
      <w:r>
        <w:rPr>
          <w:rFonts w:ascii="Arial" w:hAnsi="Arial" w:eastAsia="宋体" w:cs="Arial"/>
          <w:sz w:val="22"/>
          <w:lang w:val="en-US" w:eastAsia="zh-CN"/>
        </w:rPr>
        <w:t>4</w:t>
      </w:r>
      <w:r>
        <w:rPr>
          <w:rFonts w:hint="eastAsia" w:ascii="Arial" w:hAnsi="Arial" w:eastAsia="宋体" w:cs="Arial"/>
          <w:sz w:val="22"/>
          <w:lang w:val="en-US" w:eastAsia="zh-CN"/>
        </w:rPr>
        <w:t xml:space="preserve"> meeting, RAN4 provides analysis for </w:t>
      </w:r>
      <w:r>
        <w:rPr>
          <w:rFonts w:ascii="Arial" w:hAnsi="Arial" w:eastAsia="宋体" w:cs="Arial"/>
          <w:sz w:val="22"/>
          <w:lang w:val="en-US" w:eastAsia="zh-CN"/>
        </w:rPr>
        <w:t xml:space="preserve">the </w:t>
      </w:r>
      <w:r>
        <w:rPr>
          <w:rFonts w:hint="eastAsia" w:ascii="Arial" w:hAnsi="Arial" w:eastAsia="宋体" w:cs="Arial"/>
          <w:sz w:val="22"/>
          <w:lang w:val="en-US" w:eastAsia="zh-CN"/>
        </w:rPr>
        <w:t>following cases:</w:t>
      </w:r>
    </w:p>
    <w:p>
      <w:pPr>
        <w:numPr>
          <w:ilvl w:val="0"/>
          <w:numId w:val="8"/>
        </w:numPr>
        <w:snapToGrid w:val="0"/>
        <w:spacing w:after="120"/>
        <w:rPr>
          <w:rFonts w:ascii="Arial" w:hAnsi="Arial" w:eastAsia="宋体" w:cs="Arial"/>
          <w:sz w:val="22"/>
          <w:lang w:val="en-US" w:eastAsia="zh-CN"/>
        </w:rPr>
      </w:pPr>
      <w:r>
        <w:rPr>
          <w:rFonts w:hint="eastAsia" w:ascii="Arial" w:hAnsi="Arial" w:eastAsia="宋体" w:cs="Arial"/>
          <w:sz w:val="22"/>
          <w:lang w:val="en-US" w:eastAsia="zh-CN"/>
        </w:rPr>
        <w:t xml:space="preserve">If the </w:t>
      </w:r>
      <w:r>
        <w:rPr>
          <w:rFonts w:hint="eastAsia" w:ascii="Arial" w:hAnsi="Arial" w:eastAsia="宋体" w:cs="Arial"/>
          <w:i/>
          <w:iCs/>
          <w:sz w:val="22"/>
          <w:lang w:val="en-US" w:eastAsia="zh-CN"/>
        </w:rPr>
        <w:t xml:space="preserve">servingCellMO </w:t>
      </w:r>
      <w:r>
        <w:rPr>
          <w:rFonts w:hint="eastAsia" w:ascii="Arial" w:hAnsi="Arial" w:eastAsia="宋体" w:cs="Arial"/>
          <w:sz w:val="22"/>
          <w:lang w:val="en-US" w:eastAsia="zh-CN"/>
        </w:rPr>
        <w:t>indication is configured:</w:t>
      </w:r>
    </w:p>
    <w:p>
      <w:pPr>
        <w:pStyle w:val="54"/>
        <w:numPr>
          <w:ilvl w:val="3"/>
          <w:numId w:val="9"/>
        </w:numPr>
        <w:overflowPunct w:val="0"/>
        <w:autoSpaceDE w:val="0"/>
        <w:autoSpaceDN w:val="0"/>
        <w:adjustRightInd w:val="0"/>
        <w:spacing w:after="120" w:afterLines="50"/>
        <w:ind w:left="981" w:hanging="363"/>
        <w:textAlignment w:val="baseline"/>
        <w:rPr>
          <w:rFonts w:ascii="Arial" w:hAnsi="Arial" w:eastAsia="宋体" w:cs="Arial"/>
          <w:sz w:val="22"/>
          <w:lang w:val="en-US" w:eastAsia="zh-CN"/>
        </w:rPr>
      </w:pPr>
      <w:r>
        <w:rPr>
          <w:rFonts w:hint="eastAsia" w:ascii="Arial" w:hAnsi="Arial" w:eastAsia="宋体" w:cs="Arial"/>
          <w:sz w:val="22"/>
          <w:lang w:val="en-US" w:eastAsia="zh-CN"/>
        </w:rPr>
        <w:t>Intra-frequency/inter-frequency: The SSB based neighbor cell measurement is defined as intra-frequency when centre frequency of the SSB of the neighbour cell is same as that of SSB frequency configured in</w:t>
      </w:r>
      <w:r>
        <w:rPr>
          <w:rFonts w:ascii="Arial" w:hAnsi="Arial" w:eastAsia="宋体" w:cs="Arial"/>
          <w:sz w:val="22"/>
          <w:lang w:val="en-US" w:eastAsia="zh-CN"/>
        </w:rPr>
        <w:t xml:space="preserve"> the MO indicated by</w:t>
      </w:r>
      <w:r>
        <w:rPr>
          <w:rFonts w:hint="eastAsia" w:ascii="Arial" w:hAnsi="Arial" w:eastAsia="宋体" w:cs="Arial"/>
          <w:sz w:val="22"/>
          <w:lang w:val="en-US" w:eastAsia="zh-CN"/>
        </w:rPr>
        <w:t xml:space="preserve"> </w:t>
      </w:r>
      <w:r>
        <w:rPr>
          <w:rFonts w:hint="eastAsia" w:ascii="Arial" w:hAnsi="Arial" w:eastAsia="宋体" w:cs="Arial"/>
          <w:i/>
          <w:iCs/>
          <w:sz w:val="22"/>
          <w:lang w:val="en-US" w:eastAsia="zh-CN"/>
        </w:rPr>
        <w:t>servingCellMO</w:t>
      </w:r>
      <w:r>
        <w:rPr>
          <w:rFonts w:hint="eastAsia" w:ascii="Arial" w:hAnsi="Arial" w:eastAsia="宋体" w:cs="Arial"/>
          <w:sz w:val="22"/>
          <w:lang w:val="en-US" w:eastAsia="zh-CN"/>
        </w:rPr>
        <w:t>; otherwise, it is defined as inter-frequency.</w:t>
      </w:r>
    </w:p>
    <w:p>
      <w:pPr>
        <w:pStyle w:val="54"/>
        <w:numPr>
          <w:ilvl w:val="3"/>
          <w:numId w:val="9"/>
        </w:numPr>
        <w:overflowPunct w:val="0"/>
        <w:autoSpaceDE w:val="0"/>
        <w:autoSpaceDN w:val="0"/>
        <w:adjustRightInd w:val="0"/>
        <w:spacing w:after="120" w:afterLines="50"/>
        <w:ind w:left="981" w:hanging="363"/>
        <w:textAlignment w:val="baseline"/>
        <w:rPr>
          <w:rFonts w:ascii="Arial" w:hAnsi="Arial" w:eastAsia="宋体" w:cs="Arial"/>
          <w:sz w:val="22"/>
          <w:lang w:val="en-US" w:eastAsia="zh-CN"/>
        </w:rPr>
      </w:pPr>
      <w:r>
        <w:rPr>
          <w:rFonts w:ascii="Arial" w:hAnsi="Arial" w:eastAsia="宋体" w:cs="Arial"/>
          <w:sz w:val="22"/>
          <w:lang w:val="en-US" w:eastAsia="zh-CN"/>
        </w:rPr>
        <w:t xml:space="preserve">UE </w:t>
      </w:r>
      <w:r>
        <w:rPr>
          <w:rFonts w:hint="eastAsia" w:ascii="Arial" w:hAnsi="Arial" w:eastAsia="宋体" w:cs="Arial"/>
          <w:sz w:val="22"/>
          <w:lang w:val="en-US" w:eastAsia="zh-CN"/>
        </w:rPr>
        <w:t xml:space="preserve">Requirements: </w:t>
      </w:r>
    </w:p>
    <w:p>
      <w:pPr>
        <w:pStyle w:val="54"/>
        <w:numPr>
          <w:ilvl w:val="0"/>
          <w:numId w:val="10"/>
        </w:numPr>
        <w:overflowPunct w:val="0"/>
        <w:autoSpaceDE w:val="0"/>
        <w:autoSpaceDN w:val="0"/>
        <w:adjustRightInd w:val="0"/>
        <w:spacing w:after="120" w:afterLines="50"/>
        <w:textAlignment w:val="baseline"/>
        <w:rPr>
          <w:rFonts w:ascii="Arial" w:hAnsi="Arial" w:eastAsia="宋体" w:cs="Arial"/>
          <w:sz w:val="22"/>
          <w:lang w:val="en-US" w:eastAsia="zh-CN"/>
        </w:rPr>
      </w:pPr>
      <w:r>
        <w:rPr>
          <w:rFonts w:hint="eastAsia" w:ascii="Arial" w:hAnsi="Arial" w:eastAsia="宋体" w:cs="Arial"/>
          <w:sz w:val="22"/>
          <w:lang w:val="en-US" w:eastAsia="zh-CN"/>
        </w:rPr>
        <w:t xml:space="preserve">The requirements of intra-frequency without measurement gap </w:t>
      </w:r>
      <w:r>
        <w:rPr>
          <w:rFonts w:ascii="Arial" w:hAnsi="Arial" w:eastAsia="宋体" w:cs="Arial"/>
          <w:sz w:val="22"/>
          <w:lang w:val="en-US" w:eastAsia="zh-CN"/>
        </w:rPr>
        <w:t>are</w:t>
      </w:r>
      <w:r>
        <w:rPr>
          <w:rFonts w:hint="eastAsia" w:ascii="Arial" w:hAnsi="Arial" w:eastAsia="宋体" w:cs="Arial"/>
          <w:sz w:val="22"/>
          <w:lang w:val="en-US" w:eastAsia="zh-CN"/>
        </w:rPr>
        <w:t xml:space="preserve"> defined in Clause 9.2.5 TS 38.133</w:t>
      </w:r>
    </w:p>
    <w:p>
      <w:pPr>
        <w:pStyle w:val="54"/>
        <w:numPr>
          <w:ilvl w:val="0"/>
          <w:numId w:val="10"/>
        </w:numPr>
        <w:overflowPunct w:val="0"/>
        <w:autoSpaceDE w:val="0"/>
        <w:autoSpaceDN w:val="0"/>
        <w:adjustRightInd w:val="0"/>
        <w:spacing w:after="120" w:afterLines="50"/>
        <w:textAlignment w:val="baseline"/>
        <w:rPr>
          <w:rFonts w:ascii="Arial" w:hAnsi="Arial" w:eastAsia="宋体" w:cs="Arial"/>
          <w:sz w:val="22"/>
          <w:lang w:val="en-US" w:eastAsia="zh-CN"/>
        </w:rPr>
      </w:pPr>
      <w:r>
        <w:rPr>
          <w:rFonts w:hint="eastAsia" w:ascii="Arial" w:hAnsi="Arial" w:eastAsia="宋体" w:cs="Arial"/>
          <w:sz w:val="22"/>
          <w:lang w:val="en-US" w:eastAsia="zh-CN"/>
        </w:rPr>
        <w:t xml:space="preserve">The requirements of intra-frequency with measurement gap </w:t>
      </w:r>
      <w:r>
        <w:rPr>
          <w:rFonts w:ascii="Arial" w:hAnsi="Arial" w:eastAsia="宋体" w:cs="Arial"/>
          <w:sz w:val="22"/>
          <w:lang w:val="en-US" w:eastAsia="zh-CN"/>
        </w:rPr>
        <w:t>are</w:t>
      </w:r>
      <w:r>
        <w:rPr>
          <w:rFonts w:hint="eastAsia" w:ascii="Arial" w:hAnsi="Arial" w:eastAsia="宋体" w:cs="Arial"/>
          <w:sz w:val="22"/>
          <w:lang w:val="en-US" w:eastAsia="zh-CN"/>
        </w:rPr>
        <w:t xml:space="preserve"> defined in Clause 9.2.6 TS 38.133</w:t>
      </w:r>
    </w:p>
    <w:p>
      <w:pPr>
        <w:pStyle w:val="54"/>
        <w:numPr>
          <w:ilvl w:val="0"/>
          <w:numId w:val="10"/>
        </w:numPr>
        <w:overflowPunct w:val="0"/>
        <w:autoSpaceDE w:val="0"/>
        <w:autoSpaceDN w:val="0"/>
        <w:adjustRightInd w:val="0"/>
        <w:spacing w:after="120" w:afterLines="50"/>
        <w:textAlignment w:val="baseline"/>
        <w:rPr>
          <w:rFonts w:ascii="Arial" w:hAnsi="Arial" w:eastAsia="宋体" w:cs="Arial"/>
          <w:sz w:val="22"/>
          <w:lang w:val="en-US" w:eastAsia="zh-CN"/>
        </w:rPr>
      </w:pPr>
      <w:r>
        <w:rPr>
          <w:rFonts w:hint="eastAsia" w:ascii="Arial" w:hAnsi="Arial" w:eastAsia="宋体" w:cs="Arial"/>
          <w:sz w:val="22"/>
          <w:lang w:val="en-US" w:eastAsia="zh-CN"/>
        </w:rPr>
        <w:t xml:space="preserve">The requirements of inter-frequency with measurement gap </w:t>
      </w:r>
      <w:r>
        <w:rPr>
          <w:rFonts w:ascii="Arial" w:hAnsi="Arial" w:eastAsia="宋体" w:cs="Arial"/>
          <w:sz w:val="22"/>
          <w:lang w:val="en-US" w:eastAsia="zh-CN"/>
        </w:rPr>
        <w:t>are</w:t>
      </w:r>
      <w:r>
        <w:rPr>
          <w:rFonts w:hint="eastAsia" w:ascii="Arial" w:hAnsi="Arial" w:eastAsia="宋体" w:cs="Arial"/>
          <w:sz w:val="22"/>
          <w:lang w:val="en-US" w:eastAsia="zh-CN"/>
        </w:rPr>
        <w:t xml:space="preserve"> defined in Clause 9.3.4 TS 38.133</w:t>
      </w:r>
    </w:p>
    <w:p>
      <w:pPr>
        <w:pStyle w:val="54"/>
        <w:numPr>
          <w:ilvl w:val="0"/>
          <w:numId w:val="10"/>
        </w:numPr>
        <w:overflowPunct w:val="0"/>
        <w:autoSpaceDE w:val="0"/>
        <w:autoSpaceDN w:val="0"/>
        <w:adjustRightInd w:val="0"/>
        <w:spacing w:after="120" w:afterLines="50"/>
        <w:ind w:left="1718" w:hanging="420"/>
        <w:textAlignment w:val="baseline"/>
        <w:rPr>
          <w:rFonts w:ascii="Arial" w:hAnsi="Arial" w:eastAsia="宋体" w:cs="Arial"/>
          <w:sz w:val="22"/>
          <w:lang w:val="en-US" w:eastAsia="zh-CN"/>
        </w:rPr>
      </w:pPr>
      <w:r>
        <w:rPr>
          <w:rFonts w:hint="eastAsia" w:ascii="Arial" w:hAnsi="Arial" w:eastAsia="宋体" w:cs="Arial"/>
          <w:sz w:val="22"/>
          <w:lang w:val="en-US" w:eastAsia="zh-CN"/>
        </w:rPr>
        <w:t xml:space="preserve">The requirements of inter-frequency without measurement gap </w:t>
      </w:r>
      <w:r>
        <w:rPr>
          <w:rFonts w:ascii="Arial" w:hAnsi="Arial" w:eastAsia="宋体" w:cs="Arial"/>
          <w:sz w:val="22"/>
          <w:lang w:val="en-US" w:eastAsia="zh-CN"/>
        </w:rPr>
        <w:t>are</w:t>
      </w:r>
      <w:r>
        <w:rPr>
          <w:rFonts w:hint="eastAsia" w:ascii="Arial" w:hAnsi="Arial" w:eastAsia="宋体" w:cs="Arial"/>
          <w:sz w:val="22"/>
          <w:lang w:val="en-US" w:eastAsia="zh-CN"/>
        </w:rPr>
        <w:t xml:space="preserve"> defined in Clause 9.3.9 TS 38.133</w:t>
      </w:r>
    </w:p>
    <w:p>
      <w:pPr>
        <w:numPr>
          <w:ilvl w:val="0"/>
          <w:numId w:val="8"/>
        </w:numPr>
        <w:snapToGrid w:val="0"/>
        <w:spacing w:beforeLines="50" w:after="120"/>
        <w:ind w:left="590" w:hanging="363"/>
        <w:rPr>
          <w:rFonts w:ascii="Arial" w:hAnsi="Arial" w:eastAsia="宋体" w:cs="Arial"/>
          <w:sz w:val="22"/>
          <w:lang w:val="en-US" w:eastAsia="zh-CN"/>
        </w:rPr>
      </w:pPr>
      <w:r>
        <w:rPr>
          <w:rFonts w:hint="eastAsia" w:ascii="Arial" w:hAnsi="Arial" w:eastAsia="宋体" w:cs="Arial"/>
          <w:sz w:val="22"/>
          <w:lang w:val="en-US" w:eastAsia="zh-CN"/>
        </w:rPr>
        <w:t xml:space="preserve">If the </w:t>
      </w:r>
      <w:r>
        <w:rPr>
          <w:rFonts w:hint="eastAsia" w:ascii="Arial" w:hAnsi="Arial" w:eastAsia="宋体" w:cs="Arial"/>
          <w:i/>
          <w:iCs/>
          <w:sz w:val="22"/>
          <w:lang w:val="en-US" w:eastAsia="zh-CN"/>
        </w:rPr>
        <w:t xml:space="preserve">servingCellMO </w:t>
      </w:r>
      <w:r>
        <w:rPr>
          <w:rFonts w:hint="eastAsia" w:ascii="Arial" w:hAnsi="Arial" w:eastAsia="宋体" w:cs="Arial"/>
          <w:sz w:val="22"/>
          <w:lang w:val="en-US" w:eastAsia="zh-CN"/>
        </w:rPr>
        <w:t>indication is not configured:</w:t>
      </w:r>
    </w:p>
    <w:p>
      <w:pPr>
        <w:pStyle w:val="54"/>
        <w:numPr>
          <w:ilvl w:val="3"/>
          <w:numId w:val="9"/>
        </w:numPr>
        <w:overflowPunct w:val="0"/>
        <w:autoSpaceDE w:val="0"/>
        <w:autoSpaceDN w:val="0"/>
        <w:adjustRightInd w:val="0"/>
        <w:ind w:left="980"/>
        <w:textAlignment w:val="baseline"/>
        <w:rPr>
          <w:rFonts w:ascii="Arial" w:hAnsi="Arial" w:eastAsia="宋体" w:cs="Arial"/>
          <w:sz w:val="22"/>
          <w:lang w:val="en-US" w:eastAsia="zh-CN"/>
        </w:rPr>
      </w:pPr>
      <w:r>
        <w:rPr>
          <w:rFonts w:hint="eastAsia" w:ascii="Arial" w:hAnsi="Arial" w:eastAsia="宋体" w:cs="Arial"/>
          <w:sz w:val="22"/>
          <w:lang w:val="en-US" w:eastAsia="zh-CN"/>
        </w:rPr>
        <w:t xml:space="preserve">Intra-frequency/inter-frequency: Based current RAN4 framework on Intra-frequency/inter-frequency definition, the SSB based neighbor cell measurement is defined as inter-frequency. </w:t>
      </w:r>
    </w:p>
    <w:p>
      <w:pPr>
        <w:pStyle w:val="54"/>
        <w:numPr>
          <w:ilvl w:val="3"/>
          <w:numId w:val="9"/>
        </w:numPr>
        <w:overflowPunct w:val="0"/>
        <w:autoSpaceDE w:val="0"/>
        <w:autoSpaceDN w:val="0"/>
        <w:adjustRightInd w:val="0"/>
        <w:ind w:left="980"/>
        <w:textAlignment w:val="baseline"/>
        <w:rPr>
          <w:rFonts w:ascii="Arial" w:hAnsi="Arial" w:eastAsia="宋体" w:cs="Arial"/>
          <w:sz w:val="22"/>
          <w:lang w:val="en-US" w:eastAsia="zh-CN"/>
        </w:rPr>
      </w:pPr>
      <w:r>
        <w:rPr>
          <w:rFonts w:ascii="Arial" w:hAnsi="Arial" w:eastAsia="宋体" w:cs="Arial"/>
          <w:sz w:val="22"/>
          <w:lang w:val="en-US" w:eastAsia="zh-CN"/>
        </w:rPr>
        <w:t xml:space="preserve">UE </w:t>
      </w:r>
      <w:r>
        <w:rPr>
          <w:rFonts w:hint="eastAsia" w:ascii="Arial" w:hAnsi="Arial" w:eastAsia="宋体" w:cs="Arial"/>
          <w:sz w:val="22"/>
          <w:lang w:val="en-US" w:eastAsia="zh-CN"/>
        </w:rPr>
        <w:t xml:space="preserve">Requirements: </w:t>
      </w:r>
    </w:p>
    <w:p>
      <w:pPr>
        <w:pStyle w:val="54"/>
        <w:numPr>
          <w:ilvl w:val="0"/>
          <w:numId w:val="10"/>
        </w:numPr>
        <w:overflowPunct w:val="0"/>
        <w:autoSpaceDE w:val="0"/>
        <w:autoSpaceDN w:val="0"/>
        <w:adjustRightInd w:val="0"/>
        <w:textAlignment w:val="baseline"/>
        <w:rPr>
          <w:rFonts w:ascii="Arial" w:hAnsi="Arial" w:eastAsia="宋体" w:cs="Arial"/>
          <w:sz w:val="22"/>
          <w:lang w:val="en-US" w:eastAsia="zh-CN"/>
        </w:rPr>
      </w:pPr>
      <w:r>
        <w:rPr>
          <w:rFonts w:hint="eastAsia" w:ascii="Arial" w:hAnsi="Arial" w:eastAsia="宋体" w:cs="Arial"/>
          <w:sz w:val="22"/>
          <w:lang w:val="en-US" w:eastAsia="zh-CN"/>
        </w:rPr>
        <w:t xml:space="preserve">The requirements of inter-frequency with measurement gap </w:t>
      </w:r>
      <w:r>
        <w:rPr>
          <w:rFonts w:ascii="Arial" w:hAnsi="Arial" w:eastAsia="宋体" w:cs="Arial"/>
          <w:sz w:val="22"/>
          <w:lang w:val="en-US" w:eastAsia="zh-CN"/>
        </w:rPr>
        <w:t>are</w:t>
      </w:r>
      <w:r>
        <w:rPr>
          <w:rFonts w:hint="eastAsia" w:ascii="Arial" w:hAnsi="Arial" w:eastAsia="宋体" w:cs="Arial"/>
          <w:sz w:val="22"/>
          <w:lang w:val="en-US" w:eastAsia="zh-CN"/>
        </w:rPr>
        <w:t xml:space="preserve"> defined in Clause 9.3.4 TS 38.133</w:t>
      </w:r>
    </w:p>
    <w:p>
      <w:pPr>
        <w:pStyle w:val="54"/>
        <w:numPr>
          <w:ilvl w:val="0"/>
          <w:numId w:val="10"/>
        </w:numPr>
        <w:overflowPunct w:val="0"/>
        <w:autoSpaceDE w:val="0"/>
        <w:autoSpaceDN w:val="0"/>
        <w:adjustRightInd w:val="0"/>
        <w:spacing w:after="0" w:afterLines="-2147483648"/>
        <w:textAlignment w:val="baseline"/>
        <w:rPr>
          <w:rFonts w:ascii="Arial" w:hAnsi="Arial" w:eastAsia="宋体" w:cs="Arial"/>
          <w:sz w:val="22"/>
          <w:lang w:val="en-US" w:eastAsia="zh-CN"/>
        </w:rPr>
      </w:pPr>
      <w:r>
        <w:rPr>
          <w:rFonts w:hint="eastAsia" w:ascii="Arial" w:hAnsi="Arial" w:eastAsia="宋体" w:cs="Arial"/>
          <w:sz w:val="22"/>
          <w:lang w:val="en-US" w:eastAsia="zh-CN"/>
        </w:rPr>
        <w:t xml:space="preserve">The requirements of inter-frequency without measurement gap </w:t>
      </w:r>
      <w:r>
        <w:rPr>
          <w:rFonts w:ascii="Arial" w:hAnsi="Arial" w:eastAsia="宋体" w:cs="Arial"/>
          <w:sz w:val="22"/>
          <w:lang w:val="en-US" w:eastAsia="zh-CN"/>
        </w:rPr>
        <w:t>are</w:t>
      </w:r>
      <w:r>
        <w:rPr>
          <w:rFonts w:hint="eastAsia" w:ascii="Arial" w:hAnsi="Arial" w:eastAsia="宋体" w:cs="Arial"/>
          <w:sz w:val="22"/>
          <w:lang w:val="en-US" w:eastAsia="zh-CN"/>
        </w:rPr>
        <w:t xml:space="preserve"> defined in Clause 9.3.9 TS 38.133</w:t>
      </w:r>
    </w:p>
    <w:p>
      <w:pPr>
        <w:spacing w:before="120" w:beforeLines="50" w:after="120" w:afterLines="50"/>
        <w:rPr>
          <w:rFonts w:ascii="Arial" w:hAnsi="Arial" w:eastAsia="宋体" w:cs="Arial"/>
          <w:sz w:val="22"/>
          <w:lang w:val="en-US" w:eastAsia="zh-CN"/>
        </w:rPr>
      </w:pPr>
      <w:r>
        <w:rPr>
          <w:rFonts w:hint="eastAsia" w:ascii="Arial" w:hAnsi="Arial" w:eastAsia="宋体" w:cs="Arial"/>
          <w:sz w:val="22"/>
          <w:lang w:val="en-US" w:eastAsia="zh-CN"/>
        </w:rPr>
        <w:t xml:space="preserve">Based on above information, it is up to RAN2 to decide whether </w:t>
      </w:r>
      <w:r>
        <w:rPr>
          <w:rFonts w:hint="eastAsia" w:ascii="Arial" w:hAnsi="Arial" w:eastAsia="宋体" w:cs="Arial"/>
          <w:i/>
          <w:iCs/>
          <w:sz w:val="22"/>
          <w:lang w:val="en-US" w:eastAsia="zh-CN"/>
        </w:rPr>
        <w:t xml:space="preserve">servingCellMO </w:t>
      </w:r>
      <w:r>
        <w:rPr>
          <w:rFonts w:hint="eastAsia" w:ascii="Arial" w:hAnsi="Arial" w:eastAsia="宋体" w:cs="Arial"/>
          <w:sz w:val="22"/>
          <w:lang w:val="en-US" w:eastAsia="zh-CN"/>
        </w:rPr>
        <w:t>can be present or not and detailed signalling design.</w:t>
      </w:r>
    </w:p>
    <w:p>
      <w:pPr>
        <w:spacing w:after="120" w:afterLines="50"/>
        <w:rPr>
          <w:rFonts w:ascii="Arial" w:hAnsi="Arial" w:eastAsia="宋体" w:cs="Arial"/>
          <w:sz w:val="22"/>
          <w:lang w:val="en-US" w:eastAsia="zh-CN"/>
        </w:rPr>
      </w:pPr>
      <w:r>
        <w:rPr>
          <w:rFonts w:hint="eastAsia" w:ascii="Arial" w:hAnsi="Arial" w:eastAsia="宋体" w:cs="Arial"/>
          <w:sz w:val="22"/>
          <w:lang w:val="en-US" w:eastAsia="zh-CN"/>
        </w:rPr>
        <w:t xml:space="preserve">The potential conflict (if any) when </w:t>
      </w:r>
      <w:r>
        <w:rPr>
          <w:rFonts w:hint="eastAsia" w:ascii="Arial" w:hAnsi="Arial" w:eastAsia="宋体" w:cs="Arial"/>
          <w:i/>
          <w:iCs/>
          <w:sz w:val="22"/>
          <w:lang w:val="en-US" w:eastAsia="zh-CN"/>
        </w:rPr>
        <w:t xml:space="preserve">servingCellMO </w:t>
      </w:r>
      <w:r>
        <w:rPr>
          <w:rFonts w:hint="eastAsia" w:ascii="Arial" w:hAnsi="Arial" w:eastAsia="宋体" w:cs="Arial"/>
          <w:sz w:val="22"/>
          <w:lang w:val="en-US" w:eastAsia="zh-CN"/>
        </w:rPr>
        <w:t>is present is up to RAN2 to handle.</w:t>
      </w:r>
    </w:p>
    <w:p>
      <w:pPr>
        <w:spacing w:after="120" w:afterLines="50"/>
        <w:rPr>
          <w:rFonts w:ascii="Arial" w:hAnsi="Arial" w:eastAsia="宋体" w:cs="Arial"/>
          <w:sz w:val="22"/>
          <w:lang w:val="en-US" w:eastAsia="zh-CN"/>
        </w:rPr>
      </w:pPr>
      <w:r>
        <w:rPr>
          <w:rFonts w:hint="eastAsia" w:ascii="Arial" w:hAnsi="Arial" w:eastAsia="宋体" w:cs="Arial"/>
          <w:sz w:val="22"/>
          <w:lang w:val="en-US" w:eastAsia="zh-CN"/>
        </w:rPr>
        <w:t xml:space="preserve">Note: The </w:t>
      </w:r>
      <w:r>
        <w:rPr>
          <w:rFonts w:hint="eastAsia" w:ascii="Arial" w:hAnsi="Arial" w:eastAsia="宋体" w:cs="Arial"/>
          <w:i/>
          <w:iCs/>
          <w:sz w:val="22"/>
          <w:lang w:val="en-US" w:eastAsia="zh-CN"/>
        </w:rPr>
        <w:t xml:space="preserve">servingCellMO </w:t>
      </w:r>
      <w:r>
        <w:rPr>
          <w:rFonts w:hint="eastAsia" w:ascii="Arial" w:hAnsi="Arial" w:eastAsia="宋体" w:cs="Arial"/>
          <w:sz w:val="22"/>
          <w:lang w:val="en-US" w:eastAsia="zh-CN"/>
        </w:rPr>
        <w:t xml:space="preserve">is based on the current RAN2 specification, it does not preclude any RAN2 discussion or signalling design for the same purpose. </w:t>
      </w:r>
    </w:p>
    <w:p>
      <w:pPr>
        <w:spacing w:before="120" w:beforeLines="50" w:after="120" w:afterLines="50"/>
        <w:jc w:val="both"/>
        <w:rPr>
          <w:rFonts w:ascii="Arial" w:hAnsi="Arial" w:eastAsia="MS Mincho" w:cs="Arial"/>
          <w:b/>
          <w:sz w:val="22"/>
        </w:rPr>
      </w:pPr>
      <w:r>
        <w:rPr>
          <w:rFonts w:ascii="Arial" w:hAnsi="Arial" w:eastAsia="MS Mincho" w:cs="Arial"/>
          <w:b/>
          <w:sz w:val="22"/>
        </w:rPr>
        <w:t>2. Actions:</w:t>
      </w:r>
    </w:p>
    <w:p>
      <w:pPr>
        <w:spacing w:before="120" w:beforeLines="50" w:after="120" w:afterLines="50"/>
        <w:rPr>
          <w:rFonts w:ascii="Arial" w:hAnsi="Arial" w:eastAsia="MS Mincho" w:cs="Arial"/>
          <w:b/>
          <w:sz w:val="22"/>
          <w:lang w:eastAsia="ja-JP"/>
        </w:rPr>
      </w:pPr>
      <w:r>
        <w:rPr>
          <w:rFonts w:ascii="Arial" w:hAnsi="Arial" w:eastAsia="MS Mincho" w:cs="Arial"/>
          <w:b/>
          <w:sz w:val="22"/>
        </w:rPr>
        <w:t>To RAN</w:t>
      </w:r>
      <w:r>
        <w:rPr>
          <w:rFonts w:hint="eastAsia" w:ascii="Arial" w:hAnsi="Arial" w:eastAsia="宋体" w:cs="Arial"/>
          <w:b/>
          <w:sz w:val="22"/>
          <w:lang w:val="en-US" w:eastAsia="zh-CN"/>
        </w:rPr>
        <w:t>2</w:t>
      </w:r>
      <w:r>
        <w:rPr>
          <w:rFonts w:ascii="Arial" w:hAnsi="Arial" w:eastAsia="MS Mincho" w:cs="Arial"/>
          <w:b/>
          <w:sz w:val="22"/>
          <w:lang w:eastAsia="ja-JP"/>
        </w:rPr>
        <w:t>:</w:t>
      </w:r>
    </w:p>
    <w:p>
      <w:pPr>
        <w:spacing w:before="120" w:beforeLines="50" w:after="120" w:afterLines="50"/>
        <w:rPr>
          <w:rFonts w:ascii="Arial" w:hAnsi="Arial" w:eastAsia="宋体" w:cs="Arial"/>
          <w:sz w:val="22"/>
          <w:lang w:eastAsia="zh-CN"/>
        </w:rPr>
      </w:pPr>
      <w:r>
        <w:rPr>
          <w:rFonts w:ascii="Arial" w:hAnsi="Arial" w:eastAsia="MS Mincho" w:cs="Arial"/>
          <w:sz w:val="22"/>
        </w:rPr>
        <w:t>RAN4 respectfully asks RAN</w:t>
      </w:r>
      <w:r>
        <w:rPr>
          <w:rFonts w:hint="eastAsia" w:ascii="Arial" w:hAnsi="Arial" w:eastAsia="宋体" w:cs="Arial"/>
          <w:sz w:val="22"/>
          <w:lang w:val="en-US" w:eastAsia="zh-CN"/>
        </w:rPr>
        <w:t>2</w:t>
      </w:r>
      <w:r>
        <w:rPr>
          <w:rFonts w:ascii="Arial" w:hAnsi="Arial" w:eastAsia="MS Mincho" w:cs="Arial"/>
          <w:sz w:val="22"/>
        </w:rPr>
        <w:t xml:space="preserve"> to</w:t>
      </w:r>
      <w:r>
        <w:rPr>
          <w:rFonts w:ascii="Arial" w:hAnsi="Arial" w:eastAsia="MS Mincho" w:cs="Arial"/>
          <w:sz w:val="22"/>
          <w:lang w:eastAsia="ko-KR"/>
        </w:rPr>
        <w:t xml:space="preserve"> take the above into account. </w:t>
      </w:r>
    </w:p>
    <w:p>
      <w:pPr>
        <w:spacing w:before="120" w:beforeLines="50" w:after="120" w:afterLines="50"/>
        <w:jc w:val="both"/>
        <w:rPr>
          <w:rFonts w:ascii="Arial" w:hAnsi="Arial" w:eastAsia="MS Mincho" w:cs="Arial"/>
          <w:b/>
          <w:sz w:val="22"/>
        </w:rPr>
      </w:pPr>
      <w:r>
        <w:rPr>
          <w:rFonts w:ascii="Arial" w:hAnsi="Arial" w:eastAsia="MS Mincho" w:cs="Arial"/>
          <w:b/>
          <w:sz w:val="22"/>
        </w:rPr>
        <w:t>3. Date of Next TSG-RAN4 Meetings:</w:t>
      </w:r>
    </w:p>
    <w:p>
      <w:pPr>
        <w:spacing w:before="120" w:beforeLines="50" w:after="120" w:afterLines="50"/>
        <w:rPr>
          <w:rFonts w:ascii="Arial" w:hAnsi="Arial" w:eastAsia="MS Mincho" w:cs="Arial"/>
          <w:bCs/>
          <w:sz w:val="22"/>
        </w:rPr>
      </w:pPr>
      <w:r>
        <w:rPr>
          <w:rFonts w:ascii="Arial" w:hAnsi="Arial" w:eastAsia="MS Mincho" w:cs="Arial"/>
          <w:bCs/>
          <w:sz w:val="22"/>
        </w:rPr>
        <w:t>RAN WG4 Meeting #114-bis</w:t>
      </w:r>
      <w:r>
        <w:rPr>
          <w:rFonts w:ascii="Arial" w:hAnsi="Arial" w:eastAsia="MS Mincho" w:cs="Arial"/>
          <w:bCs/>
          <w:sz w:val="22"/>
        </w:rPr>
        <w:tab/>
      </w:r>
      <w:r>
        <w:rPr>
          <w:rFonts w:ascii="Arial" w:hAnsi="Arial" w:eastAsia="MS Mincho" w:cs="Arial"/>
          <w:bCs/>
          <w:sz w:val="22"/>
        </w:rPr>
        <w:tab/>
      </w:r>
      <w:r>
        <w:rPr>
          <w:rFonts w:ascii="Arial" w:hAnsi="Arial" w:eastAsia="MS Mincho" w:cs="Arial"/>
          <w:bCs/>
          <w:sz w:val="22"/>
        </w:rPr>
        <w:t>April 07 – April 11, 2025</w:t>
      </w:r>
      <w:r>
        <w:rPr>
          <w:rFonts w:ascii="Arial" w:hAnsi="Arial" w:eastAsia="MS Mincho" w:cs="Arial"/>
          <w:bCs/>
          <w:sz w:val="22"/>
        </w:rPr>
        <w:tab/>
      </w:r>
      <w:r>
        <w:rPr>
          <w:rFonts w:ascii="Arial" w:hAnsi="Arial" w:eastAsia="MS Mincho" w:cs="Arial"/>
          <w:bCs/>
          <w:sz w:val="22"/>
        </w:rPr>
        <w:t xml:space="preserve">         </w:t>
      </w:r>
      <w:r>
        <w:rPr>
          <w:rFonts w:hint="eastAsia" w:ascii="Arial" w:hAnsi="Arial" w:eastAsia="宋体" w:cs="Arial"/>
          <w:bCs/>
          <w:sz w:val="22"/>
          <w:lang w:val="en-US" w:eastAsia="zh-CN"/>
        </w:rPr>
        <w:t>Wuhan</w:t>
      </w:r>
      <w:r>
        <w:rPr>
          <w:rFonts w:ascii="Arial" w:hAnsi="Arial" w:eastAsia="MS Mincho" w:cs="Arial"/>
          <w:bCs/>
          <w:sz w:val="22"/>
        </w:rPr>
        <w:t>, China</w:t>
      </w:r>
    </w:p>
    <w:p>
      <w:pPr>
        <w:spacing w:after="120"/>
        <w:jc w:val="both"/>
        <w:rPr>
          <w:rFonts w:ascii="Arial" w:hAnsi="Arial" w:cs="Arial"/>
          <w:b/>
          <w:lang w:val="en-US"/>
        </w:rPr>
      </w:pPr>
      <w:r>
        <w:rPr>
          <w:rFonts w:ascii="Arial" w:hAnsi="Arial" w:eastAsia="MS Mincho" w:cs="Arial"/>
          <w:bCs/>
          <w:sz w:val="22"/>
        </w:rPr>
        <w:t xml:space="preserve">RAN WG4 Meeting #115    </w:t>
      </w:r>
      <w:r>
        <w:rPr>
          <w:rFonts w:ascii="Arial" w:hAnsi="Arial" w:eastAsia="MS Mincho" w:cs="Arial"/>
          <w:bCs/>
          <w:sz w:val="22"/>
        </w:rPr>
        <w:tab/>
      </w:r>
      <w:r>
        <w:rPr>
          <w:rFonts w:ascii="Arial" w:hAnsi="Arial" w:eastAsia="MS Mincho" w:cs="Arial"/>
          <w:bCs/>
          <w:sz w:val="22"/>
        </w:rPr>
        <w:tab/>
      </w:r>
      <w:r>
        <w:rPr>
          <w:rFonts w:ascii="Arial" w:hAnsi="Arial" w:eastAsia="MS Mincho" w:cs="Arial"/>
          <w:bCs/>
          <w:sz w:val="22"/>
        </w:rPr>
        <w:t>May 19 – May 23, 2025</w:t>
      </w:r>
      <w:r>
        <w:rPr>
          <w:rFonts w:ascii="Arial" w:hAnsi="Arial" w:eastAsia="MS Mincho" w:cs="Arial"/>
          <w:bCs/>
          <w:sz w:val="22"/>
        </w:rPr>
        <w:tab/>
      </w:r>
      <w:r>
        <w:rPr>
          <w:rFonts w:ascii="Arial" w:hAnsi="Arial" w:eastAsia="MS Mincho" w:cs="Arial"/>
          <w:bCs/>
          <w:sz w:val="22"/>
        </w:rPr>
        <w:t xml:space="preserve">         Malta, MT</w:t>
      </w:r>
    </w:p>
    <w:sectPr>
      <w:pgSz w:w="11907" w:h="16840"/>
      <w:pgMar w:top="1021" w:right="1021" w:bottom="1021" w:left="1021" w:header="720" w:footer="578" w:gutter="0"/>
      <w:cols w:space="720" w:num="1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PMingLiU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Monotype Sorts">
    <w:altName w:val="Wingdings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Bookman Old Style">
    <w:panose1 w:val="02050604050505020204"/>
    <w:charset w:val="00"/>
    <w:family w:val="roman"/>
    <w:pitch w:val="default"/>
    <w:sig w:usb0="00000287" w:usb1="00000000" w:usb2="00000000" w:usb3="00000000" w:csb0="2000009F" w:csb1="DFD70000"/>
  </w:font>
  <w:font w:name="Tms Rmn">
    <w:altName w:val="Times New Roman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B0A1344"/>
    <w:multiLevelType w:val="singleLevel"/>
    <w:tmpl w:val="1B0A1344"/>
    <w:lvl w:ilvl="0" w:tentative="0">
      <w:start w:val="1"/>
      <w:numFmt w:val="bullet"/>
      <w:pStyle w:val="37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abstractNum w:abstractNumId="1">
    <w:nsid w:val="21F02B4B"/>
    <w:multiLevelType w:val="multilevel"/>
    <w:tmpl w:val="21F02B4B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2D21819"/>
    <w:multiLevelType w:val="multilevel"/>
    <w:tmpl w:val="22D21819"/>
    <w:lvl w:ilvl="0" w:tentative="0">
      <w:start w:val="1"/>
      <w:numFmt w:val="bullet"/>
      <w:pStyle w:val="47"/>
      <w:lvlText w:val=""/>
      <w:lvlJc w:val="left"/>
      <w:pPr>
        <w:tabs>
          <w:tab w:val="left" w:pos="1259"/>
        </w:tabs>
        <w:ind w:left="1622" w:hanging="1055"/>
      </w:pPr>
      <w:rPr>
        <w:rFonts w:hint="default" w:ascii="Wingdings" w:hAnsi="Wingdings"/>
        <w:b/>
        <w:i w:val="0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35066604"/>
    <w:multiLevelType w:val="multilevel"/>
    <w:tmpl w:val="35066604"/>
    <w:lvl w:ilvl="0" w:tentative="0">
      <w:start w:val="1"/>
      <w:numFmt w:val="bullet"/>
      <w:lvlText w:val=""/>
      <w:lvlJc w:val="left"/>
      <w:pPr>
        <w:tabs>
          <w:tab w:val="left" w:pos="-1260"/>
        </w:tabs>
        <w:ind w:left="1716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tabs>
          <w:tab w:val="left" w:pos="-1260"/>
        </w:tabs>
        <w:ind w:left="2136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-1260"/>
        </w:tabs>
        <w:ind w:left="2556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-1260"/>
        </w:tabs>
        <w:ind w:left="2976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-1260"/>
        </w:tabs>
        <w:ind w:left="3396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-1260"/>
        </w:tabs>
        <w:ind w:left="3816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-1260"/>
        </w:tabs>
        <w:ind w:left="4236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-1260"/>
        </w:tabs>
        <w:ind w:left="4656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-1260"/>
        </w:tabs>
        <w:ind w:left="5076" w:hanging="420"/>
      </w:pPr>
      <w:rPr>
        <w:rFonts w:hint="default" w:ascii="Wingdings" w:hAnsi="Wingdings"/>
      </w:rPr>
    </w:lvl>
  </w:abstractNum>
  <w:abstractNum w:abstractNumId="4">
    <w:nsid w:val="362E533C"/>
    <w:multiLevelType w:val="multilevel"/>
    <w:tmpl w:val="362E533C"/>
    <w:lvl w:ilvl="0" w:tentative="0">
      <w:start w:val="1"/>
      <w:numFmt w:val="bullet"/>
      <w:lvlText w:val=""/>
      <w:lvlJc w:val="left"/>
      <w:pPr>
        <w:tabs>
          <w:tab w:val="left" w:pos="-420"/>
        </w:tabs>
        <w:ind w:left="584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tabs>
          <w:tab w:val="left" w:pos="-420"/>
        </w:tabs>
        <w:ind w:left="130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-420"/>
        </w:tabs>
        <w:ind w:left="202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-420"/>
        </w:tabs>
        <w:ind w:left="274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-420"/>
        </w:tabs>
        <w:ind w:left="346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-420"/>
        </w:tabs>
        <w:ind w:left="418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-420"/>
        </w:tabs>
        <w:ind w:left="490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-420"/>
        </w:tabs>
        <w:ind w:left="562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-420"/>
        </w:tabs>
        <w:ind w:left="6344" w:hanging="360"/>
      </w:pPr>
      <w:rPr>
        <w:rFonts w:hint="default" w:ascii="Wingdings" w:hAnsi="Wingdings"/>
      </w:rPr>
    </w:lvl>
  </w:abstractNum>
  <w:abstractNum w:abstractNumId="5">
    <w:nsid w:val="41CA2C26"/>
    <w:multiLevelType w:val="singleLevel"/>
    <w:tmpl w:val="41CA2C26"/>
    <w:lvl w:ilvl="0" w:tentative="0">
      <w:start w:val="1"/>
      <w:numFmt w:val="bullet"/>
      <w:pStyle w:val="35"/>
      <w:lvlText w:val=""/>
      <w:lvlJc w:val="left"/>
      <w:pPr>
        <w:tabs>
          <w:tab w:val="left" w:pos="360"/>
        </w:tabs>
        <w:ind w:left="360" w:hanging="360"/>
      </w:pPr>
      <w:rPr>
        <w:rFonts w:hint="default" w:ascii="Webdings" w:hAnsi="Webdings"/>
      </w:rPr>
    </w:lvl>
  </w:abstractNum>
  <w:abstractNum w:abstractNumId="6">
    <w:nsid w:val="549A69FD"/>
    <w:multiLevelType w:val="multilevel"/>
    <w:tmpl w:val="549A69FD"/>
    <w:lvl w:ilvl="0" w:tentative="0">
      <w:start w:val="5"/>
      <w:numFmt w:val="decimal"/>
      <w:pStyle w:val="36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7">
    <w:nsid w:val="63690C9E"/>
    <w:multiLevelType w:val="singleLevel"/>
    <w:tmpl w:val="63690C9E"/>
    <w:lvl w:ilvl="0" w:tentative="0">
      <w:start w:val="1"/>
      <w:numFmt w:val="bullet"/>
      <w:pStyle w:val="34"/>
      <w:lvlText w:val="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abstractNum w:abstractNumId="8">
    <w:nsid w:val="70146DC0"/>
    <w:multiLevelType w:val="multilevel"/>
    <w:tmpl w:val="70146DC0"/>
    <w:lvl w:ilvl="0" w:tentative="0">
      <w:start w:val="1"/>
      <w:numFmt w:val="bullet"/>
      <w:pStyle w:val="46"/>
      <w:lvlText w:val=""/>
      <w:lvlJc w:val="left"/>
      <w:pPr>
        <w:tabs>
          <w:tab w:val="left" w:pos="2070"/>
        </w:tabs>
        <w:ind w:left="2070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-3690"/>
        </w:tabs>
        <w:ind w:left="-369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-2970"/>
        </w:tabs>
        <w:ind w:left="-297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-2250"/>
        </w:tabs>
        <w:ind w:left="-225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-1530"/>
        </w:tabs>
        <w:ind w:left="-153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-810"/>
        </w:tabs>
        <w:ind w:left="-81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-90"/>
        </w:tabs>
        <w:ind w:left="-9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630"/>
        </w:tabs>
        <w:ind w:left="63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1350"/>
        </w:tabs>
        <w:ind w:left="1350" w:hanging="360"/>
      </w:pPr>
      <w:rPr>
        <w:rFonts w:hint="default" w:ascii="Wingdings" w:hAnsi="Wingdings"/>
      </w:rPr>
    </w:lvl>
  </w:abstractNum>
  <w:abstractNum w:abstractNumId="9">
    <w:nsid w:val="7E74027D"/>
    <w:multiLevelType w:val="multilevel"/>
    <w:tmpl w:val="7E74027D"/>
    <w:lvl w:ilvl="0" w:tentative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num w:numId="1">
    <w:abstractNumId w:val="7"/>
  </w:num>
  <w:num w:numId="2">
    <w:abstractNumId w:val="5"/>
  </w:num>
  <w:num w:numId="3">
    <w:abstractNumId w:val="6"/>
  </w:num>
  <w:num w:numId="4">
    <w:abstractNumId w:val="0"/>
  </w:num>
  <w:num w:numId="5">
    <w:abstractNumId w:val="8"/>
  </w:num>
  <w:num w:numId="6">
    <w:abstractNumId w:val="2"/>
  </w:num>
  <w:num w:numId="7">
    <w:abstractNumId w:val="1"/>
  </w:num>
  <w:num w:numId="8">
    <w:abstractNumId w:val="4"/>
  </w:num>
  <w:num w:numId="9">
    <w:abstractNumId w:val="9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720"/>
  <w:hyphenationZone w:val="425"/>
  <w:displayHorizontalDrawingGridEvery w:val="0"/>
  <w:displayVerticalDrawingGridEvery w:val="0"/>
  <w:doNotUseMarginsForDrawingGridOrigin w:val="1"/>
  <w:drawingGridHorizontalOrigin w:val="1800"/>
  <w:drawingGridVerticalOrigin w:val="1440"/>
  <w:noPunctuationKerning w:val="1"/>
  <w:characterSpacingControl w:val="doNotCompress"/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6040"/>
    <w:rsid w:val="000011B1"/>
    <w:rsid w:val="0000138E"/>
    <w:rsid w:val="000027E2"/>
    <w:rsid w:val="00002803"/>
    <w:rsid w:val="000029F7"/>
    <w:rsid w:val="0000419F"/>
    <w:rsid w:val="00010237"/>
    <w:rsid w:val="0001072C"/>
    <w:rsid w:val="000120D4"/>
    <w:rsid w:val="00013315"/>
    <w:rsid w:val="00013A0D"/>
    <w:rsid w:val="00016515"/>
    <w:rsid w:val="000165BE"/>
    <w:rsid w:val="00017FBD"/>
    <w:rsid w:val="00022978"/>
    <w:rsid w:val="00023473"/>
    <w:rsid w:val="00032539"/>
    <w:rsid w:val="000357ED"/>
    <w:rsid w:val="00041BCA"/>
    <w:rsid w:val="000440F1"/>
    <w:rsid w:val="0004411E"/>
    <w:rsid w:val="000451B9"/>
    <w:rsid w:val="00047185"/>
    <w:rsid w:val="00053E51"/>
    <w:rsid w:val="00054BA5"/>
    <w:rsid w:val="000569E1"/>
    <w:rsid w:val="00056FE3"/>
    <w:rsid w:val="00060533"/>
    <w:rsid w:val="00060818"/>
    <w:rsid w:val="00060D4D"/>
    <w:rsid w:val="00061476"/>
    <w:rsid w:val="000636D0"/>
    <w:rsid w:val="000663EC"/>
    <w:rsid w:val="00066B9D"/>
    <w:rsid w:val="00067345"/>
    <w:rsid w:val="000707C7"/>
    <w:rsid w:val="0007217C"/>
    <w:rsid w:val="00073293"/>
    <w:rsid w:val="000732E1"/>
    <w:rsid w:val="00073F04"/>
    <w:rsid w:val="0007440F"/>
    <w:rsid w:val="00081DB0"/>
    <w:rsid w:val="00082621"/>
    <w:rsid w:val="0008338D"/>
    <w:rsid w:val="00083DAC"/>
    <w:rsid w:val="00084058"/>
    <w:rsid w:val="00084D5B"/>
    <w:rsid w:val="0008693F"/>
    <w:rsid w:val="00093F4E"/>
    <w:rsid w:val="0009552F"/>
    <w:rsid w:val="000961C3"/>
    <w:rsid w:val="000969F9"/>
    <w:rsid w:val="000A0DE8"/>
    <w:rsid w:val="000A2FF4"/>
    <w:rsid w:val="000A3C56"/>
    <w:rsid w:val="000A42C7"/>
    <w:rsid w:val="000A4D01"/>
    <w:rsid w:val="000A6370"/>
    <w:rsid w:val="000A7C53"/>
    <w:rsid w:val="000B0FAB"/>
    <w:rsid w:val="000B23D1"/>
    <w:rsid w:val="000B2EDE"/>
    <w:rsid w:val="000B4FF5"/>
    <w:rsid w:val="000B67FB"/>
    <w:rsid w:val="000C55F2"/>
    <w:rsid w:val="000C6696"/>
    <w:rsid w:val="000C6D1A"/>
    <w:rsid w:val="000D0357"/>
    <w:rsid w:val="000D2C5C"/>
    <w:rsid w:val="000D38DE"/>
    <w:rsid w:val="000D6C20"/>
    <w:rsid w:val="000D7629"/>
    <w:rsid w:val="000D7DE3"/>
    <w:rsid w:val="000E1EB8"/>
    <w:rsid w:val="000E22AB"/>
    <w:rsid w:val="000E2CE6"/>
    <w:rsid w:val="000E2FEC"/>
    <w:rsid w:val="000E315E"/>
    <w:rsid w:val="000E39B6"/>
    <w:rsid w:val="000E4AE0"/>
    <w:rsid w:val="000F05ED"/>
    <w:rsid w:val="000F0785"/>
    <w:rsid w:val="000F0E1F"/>
    <w:rsid w:val="000F28D0"/>
    <w:rsid w:val="000F3286"/>
    <w:rsid w:val="00102A88"/>
    <w:rsid w:val="0010488D"/>
    <w:rsid w:val="00106AEA"/>
    <w:rsid w:val="001111C2"/>
    <w:rsid w:val="001114DD"/>
    <w:rsid w:val="001131D9"/>
    <w:rsid w:val="00113AE7"/>
    <w:rsid w:val="00113E66"/>
    <w:rsid w:val="00115952"/>
    <w:rsid w:val="00115FBA"/>
    <w:rsid w:val="001168CD"/>
    <w:rsid w:val="0011747B"/>
    <w:rsid w:val="00122E03"/>
    <w:rsid w:val="0012403A"/>
    <w:rsid w:val="001240E1"/>
    <w:rsid w:val="00124B5B"/>
    <w:rsid w:val="0012561C"/>
    <w:rsid w:val="00125DF3"/>
    <w:rsid w:val="00130091"/>
    <w:rsid w:val="00130CC5"/>
    <w:rsid w:val="00131B37"/>
    <w:rsid w:val="00134249"/>
    <w:rsid w:val="0014098B"/>
    <w:rsid w:val="00140B50"/>
    <w:rsid w:val="00140C63"/>
    <w:rsid w:val="00140EBA"/>
    <w:rsid w:val="00143C01"/>
    <w:rsid w:val="00151712"/>
    <w:rsid w:val="00151862"/>
    <w:rsid w:val="00152B23"/>
    <w:rsid w:val="001532DB"/>
    <w:rsid w:val="001565AE"/>
    <w:rsid w:val="00156A09"/>
    <w:rsid w:val="00160096"/>
    <w:rsid w:val="00160771"/>
    <w:rsid w:val="001614AE"/>
    <w:rsid w:val="001617AF"/>
    <w:rsid w:val="001651C8"/>
    <w:rsid w:val="00166ADF"/>
    <w:rsid w:val="00170F59"/>
    <w:rsid w:val="00173037"/>
    <w:rsid w:val="00175B1D"/>
    <w:rsid w:val="0017659C"/>
    <w:rsid w:val="0018100A"/>
    <w:rsid w:val="00181DD1"/>
    <w:rsid w:val="00183601"/>
    <w:rsid w:val="00183FDC"/>
    <w:rsid w:val="001860E7"/>
    <w:rsid w:val="00186AEB"/>
    <w:rsid w:val="001870CA"/>
    <w:rsid w:val="00187632"/>
    <w:rsid w:val="00190A38"/>
    <w:rsid w:val="00192462"/>
    <w:rsid w:val="0019272A"/>
    <w:rsid w:val="00196447"/>
    <w:rsid w:val="001967C2"/>
    <w:rsid w:val="00196A84"/>
    <w:rsid w:val="001A169F"/>
    <w:rsid w:val="001A216E"/>
    <w:rsid w:val="001A382D"/>
    <w:rsid w:val="001A3A89"/>
    <w:rsid w:val="001A6CEF"/>
    <w:rsid w:val="001A6F4D"/>
    <w:rsid w:val="001B007E"/>
    <w:rsid w:val="001B1884"/>
    <w:rsid w:val="001B78F5"/>
    <w:rsid w:val="001B7B8D"/>
    <w:rsid w:val="001B7C3A"/>
    <w:rsid w:val="001C1E4A"/>
    <w:rsid w:val="001C3B35"/>
    <w:rsid w:val="001C5D4B"/>
    <w:rsid w:val="001C7E7F"/>
    <w:rsid w:val="001D0237"/>
    <w:rsid w:val="001D0881"/>
    <w:rsid w:val="001D2DD5"/>
    <w:rsid w:val="001D731A"/>
    <w:rsid w:val="001D76A6"/>
    <w:rsid w:val="001E0674"/>
    <w:rsid w:val="001E6385"/>
    <w:rsid w:val="001E6975"/>
    <w:rsid w:val="001E7AFB"/>
    <w:rsid w:val="001F04FB"/>
    <w:rsid w:val="001F0569"/>
    <w:rsid w:val="001F2B0F"/>
    <w:rsid w:val="00203F61"/>
    <w:rsid w:val="00204DD0"/>
    <w:rsid w:val="002061AE"/>
    <w:rsid w:val="00206998"/>
    <w:rsid w:val="00206CF3"/>
    <w:rsid w:val="00210588"/>
    <w:rsid w:val="00211F01"/>
    <w:rsid w:val="00212322"/>
    <w:rsid w:val="002133D6"/>
    <w:rsid w:val="00213705"/>
    <w:rsid w:val="002137E8"/>
    <w:rsid w:val="00215AC8"/>
    <w:rsid w:val="00221EA4"/>
    <w:rsid w:val="00222460"/>
    <w:rsid w:val="00226727"/>
    <w:rsid w:val="00230C11"/>
    <w:rsid w:val="00231794"/>
    <w:rsid w:val="00231E9A"/>
    <w:rsid w:val="00241395"/>
    <w:rsid w:val="00244BB3"/>
    <w:rsid w:val="00244E6D"/>
    <w:rsid w:val="00247DBE"/>
    <w:rsid w:val="0025282A"/>
    <w:rsid w:val="00252FAA"/>
    <w:rsid w:val="002560D9"/>
    <w:rsid w:val="002562FD"/>
    <w:rsid w:val="00256439"/>
    <w:rsid w:val="00260104"/>
    <w:rsid w:val="0026285F"/>
    <w:rsid w:val="00262AA4"/>
    <w:rsid w:val="00263F70"/>
    <w:rsid w:val="002642CF"/>
    <w:rsid w:val="002657FD"/>
    <w:rsid w:val="00266F71"/>
    <w:rsid w:val="00270B99"/>
    <w:rsid w:val="0027179A"/>
    <w:rsid w:val="00271ABA"/>
    <w:rsid w:val="00274281"/>
    <w:rsid w:val="002758FB"/>
    <w:rsid w:val="00277E2A"/>
    <w:rsid w:val="002804BE"/>
    <w:rsid w:val="00282059"/>
    <w:rsid w:val="00282118"/>
    <w:rsid w:val="00284CDE"/>
    <w:rsid w:val="002900AB"/>
    <w:rsid w:val="00291B6B"/>
    <w:rsid w:val="00292091"/>
    <w:rsid w:val="00292C18"/>
    <w:rsid w:val="00295CBE"/>
    <w:rsid w:val="00296119"/>
    <w:rsid w:val="002972E5"/>
    <w:rsid w:val="002A1131"/>
    <w:rsid w:val="002A1487"/>
    <w:rsid w:val="002A1529"/>
    <w:rsid w:val="002A545F"/>
    <w:rsid w:val="002B1954"/>
    <w:rsid w:val="002B1F9A"/>
    <w:rsid w:val="002B48EA"/>
    <w:rsid w:val="002B4C29"/>
    <w:rsid w:val="002B504D"/>
    <w:rsid w:val="002B5087"/>
    <w:rsid w:val="002B50A9"/>
    <w:rsid w:val="002B5912"/>
    <w:rsid w:val="002B7357"/>
    <w:rsid w:val="002B7889"/>
    <w:rsid w:val="002C1F85"/>
    <w:rsid w:val="002C2C94"/>
    <w:rsid w:val="002C305C"/>
    <w:rsid w:val="002C391C"/>
    <w:rsid w:val="002C6F14"/>
    <w:rsid w:val="002C760D"/>
    <w:rsid w:val="002D0BE9"/>
    <w:rsid w:val="002D151B"/>
    <w:rsid w:val="002D36DF"/>
    <w:rsid w:val="002D552E"/>
    <w:rsid w:val="002E15A3"/>
    <w:rsid w:val="002E1BD5"/>
    <w:rsid w:val="002E5ACE"/>
    <w:rsid w:val="002E67B8"/>
    <w:rsid w:val="002E6F0E"/>
    <w:rsid w:val="002F18F0"/>
    <w:rsid w:val="002F18FC"/>
    <w:rsid w:val="002F1C0A"/>
    <w:rsid w:val="002F37D8"/>
    <w:rsid w:val="002F46D9"/>
    <w:rsid w:val="002F55C9"/>
    <w:rsid w:val="002F721B"/>
    <w:rsid w:val="002F7E4D"/>
    <w:rsid w:val="00303066"/>
    <w:rsid w:val="00303CB5"/>
    <w:rsid w:val="00307565"/>
    <w:rsid w:val="003103B3"/>
    <w:rsid w:val="003109D6"/>
    <w:rsid w:val="00315486"/>
    <w:rsid w:val="00315B62"/>
    <w:rsid w:val="00323415"/>
    <w:rsid w:val="00323A98"/>
    <w:rsid w:val="00323C19"/>
    <w:rsid w:val="00326335"/>
    <w:rsid w:val="00327090"/>
    <w:rsid w:val="00327B02"/>
    <w:rsid w:val="00327B0D"/>
    <w:rsid w:val="00332A63"/>
    <w:rsid w:val="003334EA"/>
    <w:rsid w:val="00334286"/>
    <w:rsid w:val="00335199"/>
    <w:rsid w:val="0033626A"/>
    <w:rsid w:val="00336755"/>
    <w:rsid w:val="00340DE5"/>
    <w:rsid w:val="00347B82"/>
    <w:rsid w:val="003501D9"/>
    <w:rsid w:val="003504E2"/>
    <w:rsid w:val="00350B5A"/>
    <w:rsid w:val="0035196E"/>
    <w:rsid w:val="003530E5"/>
    <w:rsid w:val="003555C0"/>
    <w:rsid w:val="00355910"/>
    <w:rsid w:val="00355F42"/>
    <w:rsid w:val="0035617C"/>
    <w:rsid w:val="0036152C"/>
    <w:rsid w:val="00362A15"/>
    <w:rsid w:val="00366690"/>
    <w:rsid w:val="00367084"/>
    <w:rsid w:val="00367CE5"/>
    <w:rsid w:val="00373139"/>
    <w:rsid w:val="00373DF8"/>
    <w:rsid w:val="00381CFB"/>
    <w:rsid w:val="003838D6"/>
    <w:rsid w:val="003847AB"/>
    <w:rsid w:val="0039013E"/>
    <w:rsid w:val="0039347D"/>
    <w:rsid w:val="003968C2"/>
    <w:rsid w:val="003A0148"/>
    <w:rsid w:val="003A0A4A"/>
    <w:rsid w:val="003A0E0F"/>
    <w:rsid w:val="003A1F0E"/>
    <w:rsid w:val="003A309F"/>
    <w:rsid w:val="003A43BA"/>
    <w:rsid w:val="003A4F32"/>
    <w:rsid w:val="003A6B4F"/>
    <w:rsid w:val="003B51A0"/>
    <w:rsid w:val="003C1F36"/>
    <w:rsid w:val="003C51E7"/>
    <w:rsid w:val="003C5AB3"/>
    <w:rsid w:val="003D2626"/>
    <w:rsid w:val="003D2B1B"/>
    <w:rsid w:val="003D4613"/>
    <w:rsid w:val="003D5561"/>
    <w:rsid w:val="003E15AA"/>
    <w:rsid w:val="003E1D07"/>
    <w:rsid w:val="003E1F5E"/>
    <w:rsid w:val="003E2F63"/>
    <w:rsid w:val="003E332B"/>
    <w:rsid w:val="003E3440"/>
    <w:rsid w:val="003F320A"/>
    <w:rsid w:val="003F5147"/>
    <w:rsid w:val="003F5566"/>
    <w:rsid w:val="003F639E"/>
    <w:rsid w:val="00400523"/>
    <w:rsid w:val="0040146A"/>
    <w:rsid w:val="0040188C"/>
    <w:rsid w:val="00402BF8"/>
    <w:rsid w:val="004055AE"/>
    <w:rsid w:val="00405758"/>
    <w:rsid w:val="00405EC4"/>
    <w:rsid w:val="00411052"/>
    <w:rsid w:val="00411D52"/>
    <w:rsid w:val="00411F2B"/>
    <w:rsid w:val="004166E2"/>
    <w:rsid w:val="00420424"/>
    <w:rsid w:val="004204BF"/>
    <w:rsid w:val="00420D49"/>
    <w:rsid w:val="0042446E"/>
    <w:rsid w:val="00432789"/>
    <w:rsid w:val="00432B36"/>
    <w:rsid w:val="004333D4"/>
    <w:rsid w:val="004334D3"/>
    <w:rsid w:val="00433AD6"/>
    <w:rsid w:val="00434846"/>
    <w:rsid w:val="004351DA"/>
    <w:rsid w:val="0043670B"/>
    <w:rsid w:val="00443097"/>
    <w:rsid w:val="00443CD2"/>
    <w:rsid w:val="00444016"/>
    <w:rsid w:val="004443C8"/>
    <w:rsid w:val="004456F8"/>
    <w:rsid w:val="00446139"/>
    <w:rsid w:val="004465DB"/>
    <w:rsid w:val="00450B49"/>
    <w:rsid w:val="0045106A"/>
    <w:rsid w:val="0045708C"/>
    <w:rsid w:val="004626F7"/>
    <w:rsid w:val="004644A7"/>
    <w:rsid w:val="0046533E"/>
    <w:rsid w:val="00465C3C"/>
    <w:rsid w:val="00466BC9"/>
    <w:rsid w:val="004675DF"/>
    <w:rsid w:val="00471785"/>
    <w:rsid w:val="00471E8B"/>
    <w:rsid w:val="004757BC"/>
    <w:rsid w:val="00477264"/>
    <w:rsid w:val="00477513"/>
    <w:rsid w:val="0048110F"/>
    <w:rsid w:val="00482FE9"/>
    <w:rsid w:val="00484924"/>
    <w:rsid w:val="004851D9"/>
    <w:rsid w:val="00485A43"/>
    <w:rsid w:val="00485DD0"/>
    <w:rsid w:val="00485FEA"/>
    <w:rsid w:val="00491F0C"/>
    <w:rsid w:val="004935E1"/>
    <w:rsid w:val="00494AAF"/>
    <w:rsid w:val="00494DA6"/>
    <w:rsid w:val="00497F02"/>
    <w:rsid w:val="004A062B"/>
    <w:rsid w:val="004A154D"/>
    <w:rsid w:val="004A2099"/>
    <w:rsid w:val="004A2159"/>
    <w:rsid w:val="004A2D3F"/>
    <w:rsid w:val="004A3027"/>
    <w:rsid w:val="004A31B2"/>
    <w:rsid w:val="004A4B69"/>
    <w:rsid w:val="004A5AA7"/>
    <w:rsid w:val="004B0AE5"/>
    <w:rsid w:val="004B0B1D"/>
    <w:rsid w:val="004B1509"/>
    <w:rsid w:val="004B42E1"/>
    <w:rsid w:val="004B4644"/>
    <w:rsid w:val="004B56D0"/>
    <w:rsid w:val="004C1D8C"/>
    <w:rsid w:val="004C59E2"/>
    <w:rsid w:val="004C6162"/>
    <w:rsid w:val="004C7658"/>
    <w:rsid w:val="004C7858"/>
    <w:rsid w:val="004C7F85"/>
    <w:rsid w:val="004D5E9B"/>
    <w:rsid w:val="004D627F"/>
    <w:rsid w:val="004D67B8"/>
    <w:rsid w:val="004E0400"/>
    <w:rsid w:val="004E195A"/>
    <w:rsid w:val="004E3E56"/>
    <w:rsid w:val="004E425B"/>
    <w:rsid w:val="004E540B"/>
    <w:rsid w:val="004E5B15"/>
    <w:rsid w:val="004F1575"/>
    <w:rsid w:val="004F39C0"/>
    <w:rsid w:val="004F4661"/>
    <w:rsid w:val="004F5B0D"/>
    <w:rsid w:val="004F5B52"/>
    <w:rsid w:val="004F5E63"/>
    <w:rsid w:val="004F5FC9"/>
    <w:rsid w:val="004F6B0F"/>
    <w:rsid w:val="004F70D1"/>
    <w:rsid w:val="004F750A"/>
    <w:rsid w:val="004F7990"/>
    <w:rsid w:val="00501A7C"/>
    <w:rsid w:val="00501C06"/>
    <w:rsid w:val="00503681"/>
    <w:rsid w:val="0050625D"/>
    <w:rsid w:val="00507B84"/>
    <w:rsid w:val="00511828"/>
    <w:rsid w:val="00517597"/>
    <w:rsid w:val="0052156D"/>
    <w:rsid w:val="00521D17"/>
    <w:rsid w:val="0052286C"/>
    <w:rsid w:val="00523C2F"/>
    <w:rsid w:val="005242D3"/>
    <w:rsid w:val="00530DE3"/>
    <w:rsid w:val="005332A5"/>
    <w:rsid w:val="0053426E"/>
    <w:rsid w:val="005376FC"/>
    <w:rsid w:val="00537F52"/>
    <w:rsid w:val="005470B5"/>
    <w:rsid w:val="005502D0"/>
    <w:rsid w:val="00550D50"/>
    <w:rsid w:val="00551B7D"/>
    <w:rsid w:val="00552F29"/>
    <w:rsid w:val="00553017"/>
    <w:rsid w:val="005564F2"/>
    <w:rsid w:val="00560481"/>
    <w:rsid w:val="00560CE4"/>
    <w:rsid w:val="005619A2"/>
    <w:rsid w:val="0056461E"/>
    <w:rsid w:val="005707B9"/>
    <w:rsid w:val="00571AE2"/>
    <w:rsid w:val="00571CB5"/>
    <w:rsid w:val="00571F88"/>
    <w:rsid w:val="005754F6"/>
    <w:rsid w:val="00576523"/>
    <w:rsid w:val="005810C2"/>
    <w:rsid w:val="005816DE"/>
    <w:rsid w:val="00581B30"/>
    <w:rsid w:val="00581EF6"/>
    <w:rsid w:val="00582916"/>
    <w:rsid w:val="0058797E"/>
    <w:rsid w:val="00587B39"/>
    <w:rsid w:val="00591EE5"/>
    <w:rsid w:val="005929F2"/>
    <w:rsid w:val="005967CA"/>
    <w:rsid w:val="005A0470"/>
    <w:rsid w:val="005A1034"/>
    <w:rsid w:val="005A1260"/>
    <w:rsid w:val="005A17DC"/>
    <w:rsid w:val="005A5610"/>
    <w:rsid w:val="005A57FD"/>
    <w:rsid w:val="005A58FF"/>
    <w:rsid w:val="005A6192"/>
    <w:rsid w:val="005A77F2"/>
    <w:rsid w:val="005B15E8"/>
    <w:rsid w:val="005B423A"/>
    <w:rsid w:val="005C1125"/>
    <w:rsid w:val="005C2C22"/>
    <w:rsid w:val="005C3205"/>
    <w:rsid w:val="005C5C71"/>
    <w:rsid w:val="005C5E94"/>
    <w:rsid w:val="005C639B"/>
    <w:rsid w:val="005D021F"/>
    <w:rsid w:val="005D3119"/>
    <w:rsid w:val="005E05A1"/>
    <w:rsid w:val="005E2B66"/>
    <w:rsid w:val="005E4D0E"/>
    <w:rsid w:val="005E69EC"/>
    <w:rsid w:val="005E7E9D"/>
    <w:rsid w:val="005F024B"/>
    <w:rsid w:val="005F0949"/>
    <w:rsid w:val="005F236E"/>
    <w:rsid w:val="005F3D3B"/>
    <w:rsid w:val="005F70EA"/>
    <w:rsid w:val="005F7423"/>
    <w:rsid w:val="00602210"/>
    <w:rsid w:val="00607B2F"/>
    <w:rsid w:val="00613E06"/>
    <w:rsid w:val="006206F7"/>
    <w:rsid w:val="00620E8F"/>
    <w:rsid w:val="00621CB4"/>
    <w:rsid w:val="00622B84"/>
    <w:rsid w:val="00623209"/>
    <w:rsid w:val="006242A9"/>
    <w:rsid w:val="00625706"/>
    <w:rsid w:val="006266A0"/>
    <w:rsid w:val="00626A45"/>
    <w:rsid w:val="00631A45"/>
    <w:rsid w:val="0063349B"/>
    <w:rsid w:val="00633E19"/>
    <w:rsid w:val="00635199"/>
    <w:rsid w:val="006376AA"/>
    <w:rsid w:val="00640333"/>
    <w:rsid w:val="00640B2E"/>
    <w:rsid w:val="006434EC"/>
    <w:rsid w:val="00644408"/>
    <w:rsid w:val="00644A0A"/>
    <w:rsid w:val="00650D42"/>
    <w:rsid w:val="00651375"/>
    <w:rsid w:val="00652E9A"/>
    <w:rsid w:val="00653E21"/>
    <w:rsid w:val="006558C1"/>
    <w:rsid w:val="0065643E"/>
    <w:rsid w:val="0066353E"/>
    <w:rsid w:val="00664627"/>
    <w:rsid w:val="00667F08"/>
    <w:rsid w:val="0067116F"/>
    <w:rsid w:val="00671A9C"/>
    <w:rsid w:val="00671C73"/>
    <w:rsid w:val="00673320"/>
    <w:rsid w:val="0067505B"/>
    <w:rsid w:val="006768AF"/>
    <w:rsid w:val="0068029D"/>
    <w:rsid w:val="00681725"/>
    <w:rsid w:val="0068465B"/>
    <w:rsid w:val="00686820"/>
    <w:rsid w:val="006879FA"/>
    <w:rsid w:val="00691B89"/>
    <w:rsid w:val="00692D53"/>
    <w:rsid w:val="006955C4"/>
    <w:rsid w:val="00695B97"/>
    <w:rsid w:val="006A0197"/>
    <w:rsid w:val="006A14EF"/>
    <w:rsid w:val="006A272A"/>
    <w:rsid w:val="006A3C24"/>
    <w:rsid w:val="006B036C"/>
    <w:rsid w:val="006B050A"/>
    <w:rsid w:val="006B06BB"/>
    <w:rsid w:val="006B0C5F"/>
    <w:rsid w:val="006B1181"/>
    <w:rsid w:val="006B206A"/>
    <w:rsid w:val="006B56AD"/>
    <w:rsid w:val="006B6870"/>
    <w:rsid w:val="006C0C37"/>
    <w:rsid w:val="006C4C0E"/>
    <w:rsid w:val="006C4D78"/>
    <w:rsid w:val="006C6F86"/>
    <w:rsid w:val="006D2C55"/>
    <w:rsid w:val="006D4A85"/>
    <w:rsid w:val="006D569A"/>
    <w:rsid w:val="006D73DF"/>
    <w:rsid w:val="006E00F5"/>
    <w:rsid w:val="006E0193"/>
    <w:rsid w:val="006E1631"/>
    <w:rsid w:val="006E2F9E"/>
    <w:rsid w:val="006E4532"/>
    <w:rsid w:val="006E5E50"/>
    <w:rsid w:val="006E636D"/>
    <w:rsid w:val="006E741C"/>
    <w:rsid w:val="006F0C19"/>
    <w:rsid w:val="006F473A"/>
    <w:rsid w:val="006F6E2C"/>
    <w:rsid w:val="006F7D44"/>
    <w:rsid w:val="00700EF6"/>
    <w:rsid w:val="0070170F"/>
    <w:rsid w:val="0070244A"/>
    <w:rsid w:val="00706F36"/>
    <w:rsid w:val="0070756C"/>
    <w:rsid w:val="0071040F"/>
    <w:rsid w:val="00710489"/>
    <w:rsid w:val="00710534"/>
    <w:rsid w:val="00710D29"/>
    <w:rsid w:val="00710FE1"/>
    <w:rsid w:val="00711A87"/>
    <w:rsid w:val="0071579D"/>
    <w:rsid w:val="00715AB3"/>
    <w:rsid w:val="00715AC9"/>
    <w:rsid w:val="0071719E"/>
    <w:rsid w:val="007208ED"/>
    <w:rsid w:val="007235FE"/>
    <w:rsid w:val="00723FE9"/>
    <w:rsid w:val="00733A88"/>
    <w:rsid w:val="0073482B"/>
    <w:rsid w:val="00741A30"/>
    <w:rsid w:val="00745EEB"/>
    <w:rsid w:val="00747A86"/>
    <w:rsid w:val="00751C89"/>
    <w:rsid w:val="007537E6"/>
    <w:rsid w:val="00756437"/>
    <w:rsid w:val="00756B1E"/>
    <w:rsid w:val="0076033E"/>
    <w:rsid w:val="0076433F"/>
    <w:rsid w:val="00765258"/>
    <w:rsid w:val="00765E3F"/>
    <w:rsid w:val="007673BE"/>
    <w:rsid w:val="007673E3"/>
    <w:rsid w:val="007727C8"/>
    <w:rsid w:val="00774D42"/>
    <w:rsid w:val="0077524A"/>
    <w:rsid w:val="00775E39"/>
    <w:rsid w:val="007768AC"/>
    <w:rsid w:val="007805B4"/>
    <w:rsid w:val="007839E9"/>
    <w:rsid w:val="00783D75"/>
    <w:rsid w:val="0079434A"/>
    <w:rsid w:val="007A026E"/>
    <w:rsid w:val="007A2DA7"/>
    <w:rsid w:val="007A3672"/>
    <w:rsid w:val="007A77B2"/>
    <w:rsid w:val="007B0F55"/>
    <w:rsid w:val="007B1284"/>
    <w:rsid w:val="007B40BF"/>
    <w:rsid w:val="007B5CD3"/>
    <w:rsid w:val="007B7ADA"/>
    <w:rsid w:val="007C09F0"/>
    <w:rsid w:val="007C0E86"/>
    <w:rsid w:val="007C4236"/>
    <w:rsid w:val="007C5583"/>
    <w:rsid w:val="007C711A"/>
    <w:rsid w:val="007D221C"/>
    <w:rsid w:val="007D4437"/>
    <w:rsid w:val="007D5F70"/>
    <w:rsid w:val="007E4FD0"/>
    <w:rsid w:val="007E538F"/>
    <w:rsid w:val="007E7C6A"/>
    <w:rsid w:val="007F02F9"/>
    <w:rsid w:val="007F04BD"/>
    <w:rsid w:val="007F20F8"/>
    <w:rsid w:val="007F2EBD"/>
    <w:rsid w:val="007F31AE"/>
    <w:rsid w:val="007F3340"/>
    <w:rsid w:val="007F59E6"/>
    <w:rsid w:val="007F640F"/>
    <w:rsid w:val="007F7B53"/>
    <w:rsid w:val="008011AD"/>
    <w:rsid w:val="00801C0E"/>
    <w:rsid w:val="00802CA4"/>
    <w:rsid w:val="008030EB"/>
    <w:rsid w:val="00804A00"/>
    <w:rsid w:val="00804BC9"/>
    <w:rsid w:val="0080609E"/>
    <w:rsid w:val="00806AAB"/>
    <w:rsid w:val="00810CB2"/>
    <w:rsid w:val="008127D9"/>
    <w:rsid w:val="0081330F"/>
    <w:rsid w:val="00813930"/>
    <w:rsid w:val="00813B5D"/>
    <w:rsid w:val="00814AF5"/>
    <w:rsid w:val="00815D9B"/>
    <w:rsid w:val="0081655A"/>
    <w:rsid w:val="00821EF6"/>
    <w:rsid w:val="00830E6C"/>
    <w:rsid w:val="008328AA"/>
    <w:rsid w:val="008330E4"/>
    <w:rsid w:val="00834270"/>
    <w:rsid w:val="00834FCB"/>
    <w:rsid w:val="00835E0A"/>
    <w:rsid w:val="00836D49"/>
    <w:rsid w:val="00837089"/>
    <w:rsid w:val="00841E51"/>
    <w:rsid w:val="00843ADF"/>
    <w:rsid w:val="00843BFE"/>
    <w:rsid w:val="0084437F"/>
    <w:rsid w:val="00844415"/>
    <w:rsid w:val="00846187"/>
    <w:rsid w:val="00851A7B"/>
    <w:rsid w:val="00852342"/>
    <w:rsid w:val="008535BD"/>
    <w:rsid w:val="00855CD0"/>
    <w:rsid w:val="00856CC0"/>
    <w:rsid w:val="0086691E"/>
    <w:rsid w:val="008716C8"/>
    <w:rsid w:val="00872B8A"/>
    <w:rsid w:val="008744D0"/>
    <w:rsid w:val="00875DFA"/>
    <w:rsid w:val="00876509"/>
    <w:rsid w:val="00877861"/>
    <w:rsid w:val="00880BA5"/>
    <w:rsid w:val="00882F49"/>
    <w:rsid w:val="00884829"/>
    <w:rsid w:val="0088507E"/>
    <w:rsid w:val="008853C9"/>
    <w:rsid w:val="008860EB"/>
    <w:rsid w:val="0088660B"/>
    <w:rsid w:val="008866BD"/>
    <w:rsid w:val="00887489"/>
    <w:rsid w:val="00891820"/>
    <w:rsid w:val="008928D8"/>
    <w:rsid w:val="008969B5"/>
    <w:rsid w:val="008A196A"/>
    <w:rsid w:val="008A27F4"/>
    <w:rsid w:val="008A34F4"/>
    <w:rsid w:val="008A6E0D"/>
    <w:rsid w:val="008A6FA6"/>
    <w:rsid w:val="008B2E18"/>
    <w:rsid w:val="008B35F1"/>
    <w:rsid w:val="008B44EA"/>
    <w:rsid w:val="008B5728"/>
    <w:rsid w:val="008B5B2C"/>
    <w:rsid w:val="008C6831"/>
    <w:rsid w:val="008C7041"/>
    <w:rsid w:val="008D1608"/>
    <w:rsid w:val="008D1CD3"/>
    <w:rsid w:val="008D2DC9"/>
    <w:rsid w:val="008D3580"/>
    <w:rsid w:val="008D3AB3"/>
    <w:rsid w:val="008D506A"/>
    <w:rsid w:val="008D6BC6"/>
    <w:rsid w:val="008E0E2B"/>
    <w:rsid w:val="008E2397"/>
    <w:rsid w:val="008E3FAA"/>
    <w:rsid w:val="008E4AD7"/>
    <w:rsid w:val="008E6091"/>
    <w:rsid w:val="008F012D"/>
    <w:rsid w:val="008F05E1"/>
    <w:rsid w:val="0090076E"/>
    <w:rsid w:val="0090085F"/>
    <w:rsid w:val="00902B03"/>
    <w:rsid w:val="00905331"/>
    <w:rsid w:val="00906412"/>
    <w:rsid w:val="0091060D"/>
    <w:rsid w:val="009152EC"/>
    <w:rsid w:val="00915BA6"/>
    <w:rsid w:val="00916EC7"/>
    <w:rsid w:val="00917C27"/>
    <w:rsid w:val="00917C30"/>
    <w:rsid w:val="00920D2D"/>
    <w:rsid w:val="00926006"/>
    <w:rsid w:val="009326B2"/>
    <w:rsid w:val="0093291B"/>
    <w:rsid w:val="00932D97"/>
    <w:rsid w:val="00933039"/>
    <w:rsid w:val="00933B4E"/>
    <w:rsid w:val="009342D7"/>
    <w:rsid w:val="009364C8"/>
    <w:rsid w:val="0093758D"/>
    <w:rsid w:val="00940760"/>
    <w:rsid w:val="009417EA"/>
    <w:rsid w:val="009423B0"/>
    <w:rsid w:val="00942FF8"/>
    <w:rsid w:val="00944060"/>
    <w:rsid w:val="009470B1"/>
    <w:rsid w:val="009472BF"/>
    <w:rsid w:val="009505D3"/>
    <w:rsid w:val="00951191"/>
    <w:rsid w:val="00951507"/>
    <w:rsid w:val="00951705"/>
    <w:rsid w:val="00952064"/>
    <w:rsid w:val="00952B06"/>
    <w:rsid w:val="00954A4E"/>
    <w:rsid w:val="00956288"/>
    <w:rsid w:val="00956422"/>
    <w:rsid w:val="00956865"/>
    <w:rsid w:val="00957C04"/>
    <w:rsid w:val="00961074"/>
    <w:rsid w:val="0096279D"/>
    <w:rsid w:val="009701BE"/>
    <w:rsid w:val="009715F2"/>
    <w:rsid w:val="00973C69"/>
    <w:rsid w:val="009741F7"/>
    <w:rsid w:val="00977095"/>
    <w:rsid w:val="0098187C"/>
    <w:rsid w:val="00982B3B"/>
    <w:rsid w:val="009841C6"/>
    <w:rsid w:val="00985BA9"/>
    <w:rsid w:val="009908A2"/>
    <w:rsid w:val="009909C0"/>
    <w:rsid w:val="0099189B"/>
    <w:rsid w:val="0099270D"/>
    <w:rsid w:val="00993231"/>
    <w:rsid w:val="00993504"/>
    <w:rsid w:val="00994FF6"/>
    <w:rsid w:val="009A12CC"/>
    <w:rsid w:val="009A3D07"/>
    <w:rsid w:val="009A3FD6"/>
    <w:rsid w:val="009A408B"/>
    <w:rsid w:val="009A4E40"/>
    <w:rsid w:val="009A5A88"/>
    <w:rsid w:val="009A5DB3"/>
    <w:rsid w:val="009A5FFC"/>
    <w:rsid w:val="009A6F04"/>
    <w:rsid w:val="009B0009"/>
    <w:rsid w:val="009B05FA"/>
    <w:rsid w:val="009B0AB3"/>
    <w:rsid w:val="009B1019"/>
    <w:rsid w:val="009B493F"/>
    <w:rsid w:val="009B4C37"/>
    <w:rsid w:val="009B78E7"/>
    <w:rsid w:val="009C0E55"/>
    <w:rsid w:val="009C26A4"/>
    <w:rsid w:val="009C7157"/>
    <w:rsid w:val="009C76C5"/>
    <w:rsid w:val="009D0193"/>
    <w:rsid w:val="009D1105"/>
    <w:rsid w:val="009D161F"/>
    <w:rsid w:val="009D597C"/>
    <w:rsid w:val="009D6DBB"/>
    <w:rsid w:val="009E0257"/>
    <w:rsid w:val="009E06F5"/>
    <w:rsid w:val="009E29F9"/>
    <w:rsid w:val="009E4502"/>
    <w:rsid w:val="009E5A39"/>
    <w:rsid w:val="009E5C2D"/>
    <w:rsid w:val="009E7120"/>
    <w:rsid w:val="009E728B"/>
    <w:rsid w:val="009E738E"/>
    <w:rsid w:val="009F13CD"/>
    <w:rsid w:val="00A0010C"/>
    <w:rsid w:val="00A020EE"/>
    <w:rsid w:val="00A03249"/>
    <w:rsid w:val="00A04D53"/>
    <w:rsid w:val="00A05040"/>
    <w:rsid w:val="00A10A19"/>
    <w:rsid w:val="00A130E6"/>
    <w:rsid w:val="00A14BE3"/>
    <w:rsid w:val="00A14F56"/>
    <w:rsid w:val="00A157E7"/>
    <w:rsid w:val="00A16BC1"/>
    <w:rsid w:val="00A17591"/>
    <w:rsid w:val="00A1761F"/>
    <w:rsid w:val="00A20732"/>
    <w:rsid w:val="00A2259B"/>
    <w:rsid w:val="00A24338"/>
    <w:rsid w:val="00A2471F"/>
    <w:rsid w:val="00A25640"/>
    <w:rsid w:val="00A2624F"/>
    <w:rsid w:val="00A27A01"/>
    <w:rsid w:val="00A27B80"/>
    <w:rsid w:val="00A31B7C"/>
    <w:rsid w:val="00A32610"/>
    <w:rsid w:val="00A3385A"/>
    <w:rsid w:val="00A338F1"/>
    <w:rsid w:val="00A33A35"/>
    <w:rsid w:val="00A3479B"/>
    <w:rsid w:val="00A36223"/>
    <w:rsid w:val="00A36966"/>
    <w:rsid w:val="00A41057"/>
    <w:rsid w:val="00A41E46"/>
    <w:rsid w:val="00A501C3"/>
    <w:rsid w:val="00A5058F"/>
    <w:rsid w:val="00A517A0"/>
    <w:rsid w:val="00A546FB"/>
    <w:rsid w:val="00A60087"/>
    <w:rsid w:val="00A60C20"/>
    <w:rsid w:val="00A617E6"/>
    <w:rsid w:val="00A646B1"/>
    <w:rsid w:val="00A64AC4"/>
    <w:rsid w:val="00A65989"/>
    <w:rsid w:val="00A66DEC"/>
    <w:rsid w:val="00A67972"/>
    <w:rsid w:val="00A72305"/>
    <w:rsid w:val="00A72F81"/>
    <w:rsid w:val="00A74665"/>
    <w:rsid w:val="00A74FE8"/>
    <w:rsid w:val="00A75A1E"/>
    <w:rsid w:val="00A75FB8"/>
    <w:rsid w:val="00A82572"/>
    <w:rsid w:val="00A84676"/>
    <w:rsid w:val="00A879B6"/>
    <w:rsid w:val="00A87D80"/>
    <w:rsid w:val="00A923FF"/>
    <w:rsid w:val="00A9663C"/>
    <w:rsid w:val="00A975C2"/>
    <w:rsid w:val="00AA12C4"/>
    <w:rsid w:val="00AB509E"/>
    <w:rsid w:val="00AB51EF"/>
    <w:rsid w:val="00AB587B"/>
    <w:rsid w:val="00AC15BF"/>
    <w:rsid w:val="00AC1D62"/>
    <w:rsid w:val="00AC25E6"/>
    <w:rsid w:val="00AC2DB7"/>
    <w:rsid w:val="00AC2FE6"/>
    <w:rsid w:val="00AC47F9"/>
    <w:rsid w:val="00AC51CC"/>
    <w:rsid w:val="00AD2751"/>
    <w:rsid w:val="00AD502E"/>
    <w:rsid w:val="00AD606E"/>
    <w:rsid w:val="00AE2423"/>
    <w:rsid w:val="00AE371C"/>
    <w:rsid w:val="00AE41B7"/>
    <w:rsid w:val="00AE5E43"/>
    <w:rsid w:val="00AE6AD9"/>
    <w:rsid w:val="00AE7506"/>
    <w:rsid w:val="00AE7F45"/>
    <w:rsid w:val="00AF1B1E"/>
    <w:rsid w:val="00AF23C2"/>
    <w:rsid w:val="00AF5806"/>
    <w:rsid w:val="00AF6965"/>
    <w:rsid w:val="00AF6FCE"/>
    <w:rsid w:val="00AF7DE6"/>
    <w:rsid w:val="00B00C63"/>
    <w:rsid w:val="00B02254"/>
    <w:rsid w:val="00B0244B"/>
    <w:rsid w:val="00B024AF"/>
    <w:rsid w:val="00B03678"/>
    <w:rsid w:val="00B05D7B"/>
    <w:rsid w:val="00B07896"/>
    <w:rsid w:val="00B10B1D"/>
    <w:rsid w:val="00B148A8"/>
    <w:rsid w:val="00B2250C"/>
    <w:rsid w:val="00B23F1F"/>
    <w:rsid w:val="00B25CFB"/>
    <w:rsid w:val="00B26523"/>
    <w:rsid w:val="00B279E4"/>
    <w:rsid w:val="00B34C1F"/>
    <w:rsid w:val="00B36EDE"/>
    <w:rsid w:val="00B36F67"/>
    <w:rsid w:val="00B36FB9"/>
    <w:rsid w:val="00B4101A"/>
    <w:rsid w:val="00B41435"/>
    <w:rsid w:val="00B42EF4"/>
    <w:rsid w:val="00B43183"/>
    <w:rsid w:val="00B43E8B"/>
    <w:rsid w:val="00B44088"/>
    <w:rsid w:val="00B45AC1"/>
    <w:rsid w:val="00B464C5"/>
    <w:rsid w:val="00B50026"/>
    <w:rsid w:val="00B50E97"/>
    <w:rsid w:val="00B542B4"/>
    <w:rsid w:val="00B57585"/>
    <w:rsid w:val="00B60AB7"/>
    <w:rsid w:val="00B612DE"/>
    <w:rsid w:val="00B6139E"/>
    <w:rsid w:val="00B62556"/>
    <w:rsid w:val="00B64F2F"/>
    <w:rsid w:val="00B65F15"/>
    <w:rsid w:val="00B73D78"/>
    <w:rsid w:val="00B73F8B"/>
    <w:rsid w:val="00B759F8"/>
    <w:rsid w:val="00B76B95"/>
    <w:rsid w:val="00B803D5"/>
    <w:rsid w:val="00B807F5"/>
    <w:rsid w:val="00B81771"/>
    <w:rsid w:val="00B82A4C"/>
    <w:rsid w:val="00B83CDA"/>
    <w:rsid w:val="00B85C5C"/>
    <w:rsid w:val="00B90ABE"/>
    <w:rsid w:val="00B93A7B"/>
    <w:rsid w:val="00B9538D"/>
    <w:rsid w:val="00B95966"/>
    <w:rsid w:val="00B964EE"/>
    <w:rsid w:val="00BA2CF0"/>
    <w:rsid w:val="00BA4CE1"/>
    <w:rsid w:val="00BA4DEB"/>
    <w:rsid w:val="00BA5546"/>
    <w:rsid w:val="00BA7D53"/>
    <w:rsid w:val="00BB093F"/>
    <w:rsid w:val="00BB1702"/>
    <w:rsid w:val="00BB3CCD"/>
    <w:rsid w:val="00BB4B3A"/>
    <w:rsid w:val="00BB4D93"/>
    <w:rsid w:val="00BB521A"/>
    <w:rsid w:val="00BB678F"/>
    <w:rsid w:val="00BC1113"/>
    <w:rsid w:val="00BC3247"/>
    <w:rsid w:val="00BC399D"/>
    <w:rsid w:val="00BC463C"/>
    <w:rsid w:val="00BC6AA3"/>
    <w:rsid w:val="00BD2424"/>
    <w:rsid w:val="00BD35B5"/>
    <w:rsid w:val="00BD39DE"/>
    <w:rsid w:val="00BD3D35"/>
    <w:rsid w:val="00BD4097"/>
    <w:rsid w:val="00BD4D28"/>
    <w:rsid w:val="00BD6207"/>
    <w:rsid w:val="00BD68BD"/>
    <w:rsid w:val="00BE0C74"/>
    <w:rsid w:val="00BE6EC6"/>
    <w:rsid w:val="00BF0434"/>
    <w:rsid w:val="00BF3A88"/>
    <w:rsid w:val="00BF3B88"/>
    <w:rsid w:val="00BF4C47"/>
    <w:rsid w:val="00BF77FD"/>
    <w:rsid w:val="00C0199A"/>
    <w:rsid w:val="00C06D4D"/>
    <w:rsid w:val="00C10648"/>
    <w:rsid w:val="00C1293D"/>
    <w:rsid w:val="00C133C3"/>
    <w:rsid w:val="00C134C4"/>
    <w:rsid w:val="00C14826"/>
    <w:rsid w:val="00C16163"/>
    <w:rsid w:val="00C16852"/>
    <w:rsid w:val="00C16E39"/>
    <w:rsid w:val="00C17381"/>
    <w:rsid w:val="00C21D75"/>
    <w:rsid w:val="00C23BA6"/>
    <w:rsid w:val="00C262A7"/>
    <w:rsid w:val="00C309AD"/>
    <w:rsid w:val="00C311C6"/>
    <w:rsid w:val="00C327C0"/>
    <w:rsid w:val="00C32EA3"/>
    <w:rsid w:val="00C3518E"/>
    <w:rsid w:val="00C3598C"/>
    <w:rsid w:val="00C35D06"/>
    <w:rsid w:val="00C42F39"/>
    <w:rsid w:val="00C4454D"/>
    <w:rsid w:val="00C44841"/>
    <w:rsid w:val="00C44959"/>
    <w:rsid w:val="00C451C1"/>
    <w:rsid w:val="00C454C1"/>
    <w:rsid w:val="00C45E21"/>
    <w:rsid w:val="00C45E96"/>
    <w:rsid w:val="00C467D0"/>
    <w:rsid w:val="00C46983"/>
    <w:rsid w:val="00C46C25"/>
    <w:rsid w:val="00C501FD"/>
    <w:rsid w:val="00C529BE"/>
    <w:rsid w:val="00C52FB0"/>
    <w:rsid w:val="00C53C7A"/>
    <w:rsid w:val="00C577F5"/>
    <w:rsid w:val="00C623DC"/>
    <w:rsid w:val="00C625A2"/>
    <w:rsid w:val="00C64740"/>
    <w:rsid w:val="00C64C7B"/>
    <w:rsid w:val="00C65B08"/>
    <w:rsid w:val="00C67A28"/>
    <w:rsid w:val="00C70380"/>
    <w:rsid w:val="00C71DBB"/>
    <w:rsid w:val="00C75C40"/>
    <w:rsid w:val="00C75E53"/>
    <w:rsid w:val="00C75FF4"/>
    <w:rsid w:val="00C76559"/>
    <w:rsid w:val="00C77718"/>
    <w:rsid w:val="00C8001B"/>
    <w:rsid w:val="00C84BE3"/>
    <w:rsid w:val="00C93E54"/>
    <w:rsid w:val="00C9524D"/>
    <w:rsid w:val="00C96B3A"/>
    <w:rsid w:val="00C96B7E"/>
    <w:rsid w:val="00C97758"/>
    <w:rsid w:val="00CA1583"/>
    <w:rsid w:val="00CA1D0F"/>
    <w:rsid w:val="00CA2550"/>
    <w:rsid w:val="00CA3B4D"/>
    <w:rsid w:val="00CA62B4"/>
    <w:rsid w:val="00CB17C2"/>
    <w:rsid w:val="00CB628C"/>
    <w:rsid w:val="00CB65E8"/>
    <w:rsid w:val="00CB724F"/>
    <w:rsid w:val="00CB7C19"/>
    <w:rsid w:val="00CC0ED5"/>
    <w:rsid w:val="00CC18FD"/>
    <w:rsid w:val="00CC4374"/>
    <w:rsid w:val="00CC562C"/>
    <w:rsid w:val="00CC5D64"/>
    <w:rsid w:val="00CC65AC"/>
    <w:rsid w:val="00CD15A4"/>
    <w:rsid w:val="00CD1644"/>
    <w:rsid w:val="00CD49B5"/>
    <w:rsid w:val="00CD555F"/>
    <w:rsid w:val="00CD716F"/>
    <w:rsid w:val="00CD7A64"/>
    <w:rsid w:val="00CE039B"/>
    <w:rsid w:val="00CE108A"/>
    <w:rsid w:val="00CE19B0"/>
    <w:rsid w:val="00CE1EA7"/>
    <w:rsid w:val="00CE20F6"/>
    <w:rsid w:val="00CE5595"/>
    <w:rsid w:val="00CF53A5"/>
    <w:rsid w:val="00CF7B91"/>
    <w:rsid w:val="00CF7DA1"/>
    <w:rsid w:val="00D02A63"/>
    <w:rsid w:val="00D0455D"/>
    <w:rsid w:val="00D04A17"/>
    <w:rsid w:val="00D056C5"/>
    <w:rsid w:val="00D068D7"/>
    <w:rsid w:val="00D10988"/>
    <w:rsid w:val="00D11CBC"/>
    <w:rsid w:val="00D122CC"/>
    <w:rsid w:val="00D1362D"/>
    <w:rsid w:val="00D17391"/>
    <w:rsid w:val="00D17DD8"/>
    <w:rsid w:val="00D204FA"/>
    <w:rsid w:val="00D2203C"/>
    <w:rsid w:val="00D22581"/>
    <w:rsid w:val="00D22CC9"/>
    <w:rsid w:val="00D2456C"/>
    <w:rsid w:val="00D25D37"/>
    <w:rsid w:val="00D30F6D"/>
    <w:rsid w:val="00D3161C"/>
    <w:rsid w:val="00D3193D"/>
    <w:rsid w:val="00D36D53"/>
    <w:rsid w:val="00D408CC"/>
    <w:rsid w:val="00D42D52"/>
    <w:rsid w:val="00D43B79"/>
    <w:rsid w:val="00D4404F"/>
    <w:rsid w:val="00D44307"/>
    <w:rsid w:val="00D445B2"/>
    <w:rsid w:val="00D44864"/>
    <w:rsid w:val="00D45F02"/>
    <w:rsid w:val="00D53ED1"/>
    <w:rsid w:val="00D5407A"/>
    <w:rsid w:val="00D55CBA"/>
    <w:rsid w:val="00D5670C"/>
    <w:rsid w:val="00D567FC"/>
    <w:rsid w:val="00D60093"/>
    <w:rsid w:val="00D62D2C"/>
    <w:rsid w:val="00D62FE9"/>
    <w:rsid w:val="00D64382"/>
    <w:rsid w:val="00D64AF1"/>
    <w:rsid w:val="00D65CF4"/>
    <w:rsid w:val="00D6631D"/>
    <w:rsid w:val="00D663B2"/>
    <w:rsid w:val="00D7320D"/>
    <w:rsid w:val="00D7337D"/>
    <w:rsid w:val="00D77EA8"/>
    <w:rsid w:val="00D80473"/>
    <w:rsid w:val="00D8058B"/>
    <w:rsid w:val="00D80C93"/>
    <w:rsid w:val="00D85ECA"/>
    <w:rsid w:val="00D8792D"/>
    <w:rsid w:val="00D92AB0"/>
    <w:rsid w:val="00D93234"/>
    <w:rsid w:val="00DA1C64"/>
    <w:rsid w:val="00DA2C1E"/>
    <w:rsid w:val="00DA4369"/>
    <w:rsid w:val="00DA46E7"/>
    <w:rsid w:val="00DB14C1"/>
    <w:rsid w:val="00DC2499"/>
    <w:rsid w:val="00DC6040"/>
    <w:rsid w:val="00DC6342"/>
    <w:rsid w:val="00DC6FCD"/>
    <w:rsid w:val="00DD03E5"/>
    <w:rsid w:val="00DD06F8"/>
    <w:rsid w:val="00DD1951"/>
    <w:rsid w:val="00DD3F6E"/>
    <w:rsid w:val="00DE1937"/>
    <w:rsid w:val="00DE2259"/>
    <w:rsid w:val="00DE6C42"/>
    <w:rsid w:val="00DE6F15"/>
    <w:rsid w:val="00DE792A"/>
    <w:rsid w:val="00DF0CC1"/>
    <w:rsid w:val="00DF4505"/>
    <w:rsid w:val="00DF470A"/>
    <w:rsid w:val="00DF63AE"/>
    <w:rsid w:val="00DF6963"/>
    <w:rsid w:val="00DF76FB"/>
    <w:rsid w:val="00E0085B"/>
    <w:rsid w:val="00E03A7E"/>
    <w:rsid w:val="00E03B67"/>
    <w:rsid w:val="00E05979"/>
    <w:rsid w:val="00E06D6D"/>
    <w:rsid w:val="00E07012"/>
    <w:rsid w:val="00E1003E"/>
    <w:rsid w:val="00E138CA"/>
    <w:rsid w:val="00E143AA"/>
    <w:rsid w:val="00E15332"/>
    <w:rsid w:val="00E156C9"/>
    <w:rsid w:val="00E168F0"/>
    <w:rsid w:val="00E20DD7"/>
    <w:rsid w:val="00E220A2"/>
    <w:rsid w:val="00E24B48"/>
    <w:rsid w:val="00E24FB7"/>
    <w:rsid w:val="00E258F8"/>
    <w:rsid w:val="00E260E8"/>
    <w:rsid w:val="00E261C1"/>
    <w:rsid w:val="00E33DCB"/>
    <w:rsid w:val="00E36720"/>
    <w:rsid w:val="00E40051"/>
    <w:rsid w:val="00E425BE"/>
    <w:rsid w:val="00E43DAA"/>
    <w:rsid w:val="00E47059"/>
    <w:rsid w:val="00E477C1"/>
    <w:rsid w:val="00E479C4"/>
    <w:rsid w:val="00E509B1"/>
    <w:rsid w:val="00E51B49"/>
    <w:rsid w:val="00E54098"/>
    <w:rsid w:val="00E540D1"/>
    <w:rsid w:val="00E607C7"/>
    <w:rsid w:val="00E62204"/>
    <w:rsid w:val="00E62533"/>
    <w:rsid w:val="00E63D67"/>
    <w:rsid w:val="00E669C5"/>
    <w:rsid w:val="00E67234"/>
    <w:rsid w:val="00E70205"/>
    <w:rsid w:val="00E7031A"/>
    <w:rsid w:val="00E70703"/>
    <w:rsid w:val="00E70B20"/>
    <w:rsid w:val="00E74D81"/>
    <w:rsid w:val="00E75A3C"/>
    <w:rsid w:val="00E7676D"/>
    <w:rsid w:val="00E76786"/>
    <w:rsid w:val="00E769E6"/>
    <w:rsid w:val="00E76BFC"/>
    <w:rsid w:val="00E77002"/>
    <w:rsid w:val="00E77D5C"/>
    <w:rsid w:val="00E80DDD"/>
    <w:rsid w:val="00E80E5C"/>
    <w:rsid w:val="00E83540"/>
    <w:rsid w:val="00E8396E"/>
    <w:rsid w:val="00E9251C"/>
    <w:rsid w:val="00E93A5C"/>
    <w:rsid w:val="00E9715D"/>
    <w:rsid w:val="00EA014A"/>
    <w:rsid w:val="00EA59E0"/>
    <w:rsid w:val="00EB0EEF"/>
    <w:rsid w:val="00EB1FC2"/>
    <w:rsid w:val="00EB3D07"/>
    <w:rsid w:val="00EB6D34"/>
    <w:rsid w:val="00EC22E9"/>
    <w:rsid w:val="00EC2ABB"/>
    <w:rsid w:val="00EC2D7F"/>
    <w:rsid w:val="00EC52A7"/>
    <w:rsid w:val="00EC616E"/>
    <w:rsid w:val="00EC71EE"/>
    <w:rsid w:val="00ED05F0"/>
    <w:rsid w:val="00ED5A11"/>
    <w:rsid w:val="00ED5A65"/>
    <w:rsid w:val="00ED7732"/>
    <w:rsid w:val="00ED7D2B"/>
    <w:rsid w:val="00EE1963"/>
    <w:rsid w:val="00EE2C45"/>
    <w:rsid w:val="00EE4EB1"/>
    <w:rsid w:val="00EE6836"/>
    <w:rsid w:val="00EF0CF9"/>
    <w:rsid w:val="00EF448F"/>
    <w:rsid w:val="00EF4AA0"/>
    <w:rsid w:val="00EF6987"/>
    <w:rsid w:val="00F0049F"/>
    <w:rsid w:val="00F049F9"/>
    <w:rsid w:val="00F14CDB"/>
    <w:rsid w:val="00F1553E"/>
    <w:rsid w:val="00F15A49"/>
    <w:rsid w:val="00F15C3A"/>
    <w:rsid w:val="00F209F2"/>
    <w:rsid w:val="00F20F4A"/>
    <w:rsid w:val="00F215BC"/>
    <w:rsid w:val="00F22271"/>
    <w:rsid w:val="00F22332"/>
    <w:rsid w:val="00F24B62"/>
    <w:rsid w:val="00F25D9A"/>
    <w:rsid w:val="00F26876"/>
    <w:rsid w:val="00F2723B"/>
    <w:rsid w:val="00F273F6"/>
    <w:rsid w:val="00F277B1"/>
    <w:rsid w:val="00F30F64"/>
    <w:rsid w:val="00F31302"/>
    <w:rsid w:val="00F32C91"/>
    <w:rsid w:val="00F36F69"/>
    <w:rsid w:val="00F44392"/>
    <w:rsid w:val="00F44E8E"/>
    <w:rsid w:val="00F50DE5"/>
    <w:rsid w:val="00F559EA"/>
    <w:rsid w:val="00F6377A"/>
    <w:rsid w:val="00F647CC"/>
    <w:rsid w:val="00F647FC"/>
    <w:rsid w:val="00F658A6"/>
    <w:rsid w:val="00F71685"/>
    <w:rsid w:val="00F721CE"/>
    <w:rsid w:val="00F73B54"/>
    <w:rsid w:val="00F744C4"/>
    <w:rsid w:val="00F76F31"/>
    <w:rsid w:val="00F81D93"/>
    <w:rsid w:val="00F8347F"/>
    <w:rsid w:val="00F85CB3"/>
    <w:rsid w:val="00F93C9C"/>
    <w:rsid w:val="00F93FF9"/>
    <w:rsid w:val="00F94975"/>
    <w:rsid w:val="00F94B3A"/>
    <w:rsid w:val="00F96059"/>
    <w:rsid w:val="00F967A0"/>
    <w:rsid w:val="00F96B74"/>
    <w:rsid w:val="00FA3955"/>
    <w:rsid w:val="00FA603A"/>
    <w:rsid w:val="00FA61FE"/>
    <w:rsid w:val="00FA67F6"/>
    <w:rsid w:val="00FA708F"/>
    <w:rsid w:val="00FB1932"/>
    <w:rsid w:val="00FB23A1"/>
    <w:rsid w:val="00FB3C4A"/>
    <w:rsid w:val="00FB3E0C"/>
    <w:rsid w:val="00FB6218"/>
    <w:rsid w:val="00FB7C21"/>
    <w:rsid w:val="00FC01CE"/>
    <w:rsid w:val="00FC3C45"/>
    <w:rsid w:val="00FC6EC1"/>
    <w:rsid w:val="00FD1724"/>
    <w:rsid w:val="00FD2267"/>
    <w:rsid w:val="00FD2F50"/>
    <w:rsid w:val="00FD3EDB"/>
    <w:rsid w:val="00FD4B5B"/>
    <w:rsid w:val="00FD4F24"/>
    <w:rsid w:val="00FD5F2A"/>
    <w:rsid w:val="00FD6140"/>
    <w:rsid w:val="00FD679D"/>
    <w:rsid w:val="00FE24C8"/>
    <w:rsid w:val="00FE6D2E"/>
    <w:rsid w:val="00FE7137"/>
    <w:rsid w:val="00FF1337"/>
    <w:rsid w:val="00FF3B15"/>
    <w:rsid w:val="00FF76A7"/>
    <w:rsid w:val="01FE2491"/>
    <w:rsid w:val="0D124708"/>
    <w:rsid w:val="0F373095"/>
    <w:rsid w:val="2D067BEC"/>
    <w:rsid w:val="41EF72CA"/>
    <w:rsid w:val="64B638ED"/>
    <w:rsid w:val="6BDD281C"/>
    <w:rsid w:val="7C993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unhideWhenUsed="0" w:uiPriority="0" w:semiHidden="0" w:name="toc 2"/>
    <w:lsdException w:unhideWhenUsed="0" w:uiPriority="0" w:semiHidden="0" w:name="toc 3"/>
    <w:lsdException w:qFormat="1" w:unhideWhenUsed="0" w:uiPriority="0" w:name="toc 4"/>
    <w:lsdException w:qFormat="1" w:unhideWhenUsed="0" w:uiPriority="0" w:name="toc 5"/>
    <w:lsdException w:unhideWhenUsed="0" w:uiPriority="0" w:semiHidden="0" w:name="toc 6"/>
    <w:lsdException w:unhideWhenUsed="0" w:uiPriority="0" w:semiHidden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qFormat="1"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3">
    <w:name w:val="heading 2"/>
    <w:basedOn w:val="1"/>
    <w:next w:val="1"/>
    <w:qFormat/>
    <w:uiPriority w:val="0"/>
    <w:pPr>
      <w:keepNext/>
      <w:ind w:right="284"/>
      <w:outlineLvl w:val="1"/>
    </w:pPr>
    <w:rPr>
      <w:rFonts w:ascii="Arial" w:hAnsi="Arial"/>
      <w:b/>
      <w:sz w:val="24"/>
    </w:rPr>
  </w:style>
  <w:style w:type="paragraph" w:styleId="4">
    <w:name w:val="heading 3"/>
    <w:basedOn w:val="1"/>
    <w:next w:val="1"/>
    <w:qFormat/>
    <w:uiPriority w:val="0"/>
    <w:pPr>
      <w:keepNext/>
      <w:outlineLvl w:val="2"/>
    </w:pPr>
    <w:rPr>
      <w:sz w:val="24"/>
    </w:rPr>
  </w:style>
  <w:style w:type="paragraph" w:styleId="5">
    <w:name w:val="heading 4"/>
    <w:basedOn w:val="1"/>
    <w:next w:val="1"/>
    <w:qFormat/>
    <w:uiPriority w:val="0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6">
    <w:name w:val="heading 5"/>
    <w:basedOn w:val="1"/>
    <w:next w:val="1"/>
    <w:qFormat/>
    <w:uiPriority w:val="0"/>
    <w:pPr>
      <w:keepNext/>
      <w:jc w:val="center"/>
      <w:outlineLvl w:val="4"/>
    </w:pPr>
    <w:rPr>
      <w:rFonts w:ascii="Arial" w:hAnsi="Arial"/>
      <w:b/>
      <w:sz w:val="24"/>
    </w:rPr>
  </w:style>
  <w:style w:type="paragraph" w:styleId="7">
    <w:name w:val="heading 6"/>
    <w:basedOn w:val="1"/>
    <w:next w:val="1"/>
    <w:qFormat/>
    <w:uiPriority w:val="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7"/>
    <w:basedOn w:val="1"/>
    <w:next w:val="1"/>
    <w:qFormat/>
    <w:uiPriority w:val="0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9">
    <w:name w:val="heading 8"/>
    <w:basedOn w:val="1"/>
    <w:next w:val="1"/>
    <w:qFormat/>
    <w:uiPriority w:val="0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10">
    <w:name w:val="heading 9"/>
    <w:basedOn w:val="1"/>
    <w:next w:val="1"/>
    <w:qFormat/>
    <w:uiPriority w:val="0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25">
    <w:name w:val="Default Paragraph Font"/>
    <w:semiHidden/>
    <w:unhideWhenUsed/>
    <w:qFormat/>
    <w:uiPriority w:val="1"/>
  </w:style>
  <w:style w:type="table" w:default="1" w:styleId="2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annotation text"/>
    <w:basedOn w:val="1"/>
    <w:link w:val="40"/>
    <w:qFormat/>
    <w:uiPriority w:val="99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zh-CN"/>
    </w:rPr>
  </w:style>
  <w:style w:type="paragraph" w:styleId="12">
    <w:name w:val="Body Text"/>
    <w:basedOn w:val="1"/>
    <w:qFormat/>
    <w:uiPriority w:val="0"/>
    <w:rPr>
      <w:rFonts w:ascii="Arial" w:hAnsi="Arial" w:cs="Arial"/>
      <w:color w:val="FF0000"/>
    </w:rPr>
  </w:style>
  <w:style w:type="paragraph" w:styleId="13">
    <w:name w:val="toc 5"/>
    <w:basedOn w:val="14"/>
    <w:next w:val="1"/>
    <w:semiHidden/>
    <w:qFormat/>
    <w:uiPriority w:val="0"/>
    <w:pPr>
      <w:keepLines/>
      <w:widowControl w:val="0"/>
      <w:tabs>
        <w:tab w:val="right" w:leader="dot" w:pos="9639"/>
      </w:tabs>
      <w:ind w:left="1701" w:right="425" w:hanging="1701"/>
    </w:pPr>
  </w:style>
  <w:style w:type="paragraph" w:styleId="14">
    <w:name w:val="toc 4"/>
    <w:basedOn w:val="1"/>
    <w:next w:val="1"/>
    <w:semiHidden/>
    <w:qFormat/>
    <w:uiPriority w:val="0"/>
    <w:pPr>
      <w:ind w:left="600"/>
    </w:pPr>
  </w:style>
  <w:style w:type="paragraph" w:styleId="15">
    <w:name w:val="toc 8"/>
    <w:basedOn w:val="16"/>
    <w:next w:val="1"/>
    <w:semiHidden/>
    <w:qFormat/>
    <w:uiPriority w:val="0"/>
    <w:pPr>
      <w:tabs>
        <w:tab w:val="right" w:leader="dot" w:pos="9639"/>
      </w:tabs>
      <w:spacing w:before="180"/>
      <w:ind w:left="2693" w:hanging="2693"/>
    </w:pPr>
    <w:rPr>
      <w:b/>
    </w:rPr>
  </w:style>
  <w:style w:type="paragraph" w:styleId="16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17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18">
    <w:name w:val="footer"/>
    <w:basedOn w:val="1"/>
    <w:qFormat/>
    <w:uiPriority w:val="0"/>
    <w:pPr>
      <w:tabs>
        <w:tab w:val="center" w:pos="4153"/>
        <w:tab w:val="right" w:pos="8306"/>
      </w:tabs>
    </w:pPr>
  </w:style>
  <w:style w:type="paragraph" w:styleId="19">
    <w:name w:val="header"/>
    <w:basedOn w:val="1"/>
    <w:link w:val="42"/>
    <w:qFormat/>
    <w:uiPriority w:val="0"/>
    <w:pPr>
      <w:tabs>
        <w:tab w:val="center" w:pos="4153"/>
        <w:tab w:val="right" w:pos="8306"/>
      </w:tabs>
    </w:pPr>
  </w:style>
  <w:style w:type="paragraph" w:styleId="20">
    <w:name w:val="toc 9"/>
    <w:basedOn w:val="1"/>
    <w:next w:val="1"/>
    <w:semiHidden/>
    <w:qFormat/>
    <w:uiPriority w:val="0"/>
    <w:pPr>
      <w:ind w:left="1600"/>
    </w:pPr>
  </w:style>
  <w:style w:type="paragraph" w:styleId="21">
    <w:name w:val="annotation subject"/>
    <w:basedOn w:val="11"/>
    <w:next w:val="11"/>
    <w:link w:val="41"/>
    <w:qFormat/>
    <w:uiPriority w:val="0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table" w:styleId="23">
    <w:name w:val="Table Grid"/>
    <w:basedOn w:val="22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24">
    <w:name w:val="Table Theme"/>
    <w:basedOn w:val="22"/>
    <w:semiHidden/>
    <w:unhideWhenUsed/>
    <w:qFormat/>
    <w:uiPriority w:val="0"/>
    <w:pPr>
      <w:spacing w:after="180"/>
    </w:pPr>
    <w:rPr>
      <w:rFonts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6">
    <w:name w:val="page number"/>
    <w:basedOn w:val="25"/>
    <w:qFormat/>
    <w:uiPriority w:val="0"/>
  </w:style>
  <w:style w:type="character" w:styleId="27">
    <w:name w:val="Emphasis"/>
    <w:qFormat/>
    <w:uiPriority w:val="0"/>
    <w:rPr>
      <w:i/>
      <w:iCs/>
    </w:rPr>
  </w:style>
  <w:style w:type="character" w:styleId="28">
    <w:name w:val="Hyperlink"/>
    <w:qFormat/>
    <w:uiPriority w:val="0"/>
    <w:rPr>
      <w:color w:val="0000FF"/>
      <w:u w:val="single"/>
    </w:rPr>
  </w:style>
  <w:style w:type="character" w:styleId="29">
    <w:name w:val="annotation reference"/>
    <w:semiHidden/>
    <w:qFormat/>
    <w:uiPriority w:val="0"/>
    <w:rPr>
      <w:sz w:val="16"/>
    </w:rPr>
  </w:style>
  <w:style w:type="paragraph" w:customStyle="1" w:styleId="30">
    <w:name w:val="B1"/>
    <w:basedOn w:val="1"/>
    <w:link w:val="51"/>
    <w:qFormat/>
    <w:uiPriority w:val="0"/>
    <w:pPr>
      <w:ind w:left="567" w:hanging="567"/>
      <w:jc w:val="both"/>
    </w:pPr>
    <w:rPr>
      <w:rFonts w:ascii="Arial" w:hAnsi="Arial"/>
    </w:rPr>
  </w:style>
  <w:style w:type="paragraph" w:customStyle="1" w:styleId="31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32">
    <w:name w:val="??"/>
    <w:qFormat/>
    <w:uiPriority w:val="0"/>
    <w:pPr>
      <w:widowControl w:val="0"/>
    </w:pPr>
    <w:rPr>
      <w:rFonts w:ascii="Times New Roman" w:hAnsi="Times New Roman" w:cs="Times New Roman" w:eastAsiaTheme="minorEastAsia"/>
      <w:lang w:val="en-US" w:eastAsia="en-US" w:bidi="ar-SA"/>
    </w:rPr>
  </w:style>
  <w:style w:type="paragraph" w:customStyle="1" w:styleId="33">
    <w:name w:val="??? 2"/>
    <w:basedOn w:val="32"/>
    <w:next w:val="32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34">
    <w:name w:val="DECISION"/>
    <w:basedOn w:val="1"/>
    <w:qFormat/>
    <w:uiPriority w:val="0"/>
    <w:pPr>
      <w:widowControl w:val="0"/>
      <w:numPr>
        <w:ilvl w:val="0"/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35">
    <w:name w:val="ACTION"/>
    <w:basedOn w:val="1"/>
    <w:qFormat/>
    <w:uiPriority w:val="0"/>
    <w:pPr>
      <w:keepNext/>
      <w:keepLines/>
      <w:widowControl w:val="0"/>
      <w:numPr>
        <w:ilvl w:val="0"/>
        <w:numId w:val="2"/>
      </w:numPr>
      <w:pBdr>
        <w:top w:val="single" w:color="FF0000" w:sz="6" w:space="1"/>
        <w:left w:val="single" w:color="FF0000" w:sz="6" w:space="4"/>
        <w:bottom w:val="single" w:color="FF0000" w:sz="6" w:space="1"/>
        <w:right w:val="single" w:color="FF0000" w:sz="6" w:space="4"/>
      </w:pBdr>
      <w:tabs>
        <w:tab w:val="left" w:pos="1843"/>
        <w:tab w:val="clear" w:pos="360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36">
    <w:name w:val="done"/>
    <w:basedOn w:val="35"/>
    <w:qFormat/>
    <w:uiPriority w:val="0"/>
    <w:pPr>
      <w:numPr>
        <w:numId w:val="3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</w:tabs>
      <w:ind w:left="340" w:hanging="340"/>
    </w:pPr>
    <w:rPr>
      <w:color w:val="008000"/>
    </w:rPr>
  </w:style>
  <w:style w:type="paragraph" w:customStyle="1" w:styleId="37">
    <w:name w:val="Not Done"/>
    <w:basedOn w:val="36"/>
    <w:qFormat/>
    <w:uiPriority w:val="0"/>
    <w:pPr>
      <w:numPr>
        <w:numId w:val="4"/>
      </w:numPr>
      <w:tabs>
        <w:tab w:val="left" w:pos="0"/>
      </w:tabs>
    </w:pPr>
    <w:rPr>
      <w:color w:val="FF0000"/>
    </w:rPr>
  </w:style>
  <w:style w:type="paragraph" w:customStyle="1" w:styleId="3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39">
    <w:name w:val="CR Cover Page"/>
    <w:link w:val="53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character" w:customStyle="1" w:styleId="40">
    <w:name w:val="批注文字 字符"/>
    <w:link w:val="11"/>
    <w:qFormat/>
    <w:uiPriority w:val="99"/>
    <w:rPr>
      <w:rFonts w:ascii="Arial" w:hAnsi="Arial"/>
      <w:lang w:eastAsia="en-US"/>
    </w:rPr>
  </w:style>
  <w:style w:type="character" w:customStyle="1" w:styleId="41">
    <w:name w:val="批注主题 字符"/>
    <w:link w:val="21"/>
    <w:qFormat/>
    <w:uiPriority w:val="0"/>
    <w:rPr>
      <w:rFonts w:ascii="Arial" w:hAnsi="Arial"/>
      <w:b/>
      <w:bCs/>
      <w:lang w:eastAsia="en-US"/>
    </w:rPr>
  </w:style>
  <w:style w:type="character" w:customStyle="1" w:styleId="42">
    <w:name w:val="页眉 字符"/>
    <w:link w:val="19"/>
    <w:qFormat/>
    <w:uiPriority w:val="0"/>
    <w:rPr>
      <w:lang w:val="en-GB" w:eastAsia="en-US"/>
    </w:rPr>
  </w:style>
  <w:style w:type="paragraph" w:customStyle="1" w:styleId="43">
    <w:name w:val="Revision1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paragraph" w:customStyle="1" w:styleId="44">
    <w:name w:val="Doc-text2"/>
    <w:basedOn w:val="1"/>
    <w:link w:val="45"/>
    <w:qFormat/>
    <w:uiPriority w:val="0"/>
    <w:pPr>
      <w:tabs>
        <w:tab w:val="left" w:pos="1622"/>
      </w:tabs>
      <w:ind w:left="1622" w:hanging="363"/>
    </w:pPr>
    <w:rPr>
      <w:rFonts w:ascii="Arial" w:hAnsi="Arial" w:eastAsia="MS Mincho"/>
      <w:szCs w:val="24"/>
      <w:lang w:eastAsia="en-GB"/>
    </w:rPr>
  </w:style>
  <w:style w:type="character" w:customStyle="1" w:styleId="45">
    <w:name w:val="Doc-text2 Char"/>
    <w:link w:val="44"/>
    <w:qFormat/>
    <w:uiPriority w:val="0"/>
    <w:rPr>
      <w:rFonts w:ascii="Arial" w:hAnsi="Arial" w:eastAsia="MS Mincho"/>
      <w:szCs w:val="24"/>
      <w:lang w:val="en-GB" w:eastAsia="en-GB"/>
    </w:rPr>
  </w:style>
  <w:style w:type="paragraph" w:customStyle="1" w:styleId="46">
    <w:name w:val="Agreement"/>
    <w:basedOn w:val="1"/>
    <w:next w:val="44"/>
    <w:qFormat/>
    <w:uiPriority w:val="99"/>
    <w:pPr>
      <w:numPr>
        <w:ilvl w:val="0"/>
        <w:numId w:val="5"/>
      </w:numPr>
      <w:tabs>
        <w:tab w:val="left" w:pos="1800"/>
        <w:tab w:val="clear" w:pos="2070"/>
      </w:tabs>
      <w:spacing w:before="60"/>
      <w:ind w:left="1800"/>
    </w:pPr>
    <w:rPr>
      <w:rFonts w:ascii="Arial" w:hAnsi="Arial" w:eastAsia="MS Mincho"/>
      <w:b/>
      <w:szCs w:val="24"/>
      <w:lang w:eastAsia="en-GB"/>
    </w:rPr>
  </w:style>
  <w:style w:type="paragraph" w:customStyle="1" w:styleId="47">
    <w:name w:val="ComeBack"/>
    <w:basedOn w:val="44"/>
    <w:next w:val="44"/>
    <w:link w:val="48"/>
    <w:qFormat/>
    <w:uiPriority w:val="0"/>
    <w:pPr>
      <w:numPr>
        <w:ilvl w:val="0"/>
        <w:numId w:val="6"/>
      </w:numPr>
      <w:tabs>
        <w:tab w:val="clear" w:pos="1622"/>
      </w:tabs>
    </w:pPr>
  </w:style>
  <w:style w:type="character" w:customStyle="1" w:styleId="48">
    <w:name w:val="ComeBack Char Char"/>
    <w:link w:val="47"/>
    <w:qFormat/>
    <w:uiPriority w:val="0"/>
    <w:rPr>
      <w:rFonts w:ascii="Arial" w:hAnsi="Arial" w:eastAsia="MS Mincho"/>
      <w:szCs w:val="24"/>
      <w:lang w:eastAsia="en-GB"/>
    </w:rPr>
  </w:style>
  <w:style w:type="paragraph" w:customStyle="1" w:styleId="49">
    <w:name w:val="body"/>
    <w:basedOn w:val="1"/>
    <w:link w:val="50"/>
    <w:qFormat/>
    <w:uiPriority w:val="0"/>
    <w:pPr>
      <w:tabs>
        <w:tab w:val="left" w:pos="2160"/>
      </w:tabs>
      <w:spacing w:after="120"/>
      <w:jc w:val="both"/>
    </w:pPr>
    <w:rPr>
      <w:rFonts w:ascii="Bookman Old Style" w:hAnsi="Bookman Old Style"/>
      <w:lang w:val="zh-CN" w:eastAsia="zh-CN"/>
    </w:rPr>
  </w:style>
  <w:style w:type="character" w:customStyle="1" w:styleId="50">
    <w:name w:val="body Char"/>
    <w:link w:val="49"/>
    <w:qFormat/>
    <w:uiPriority w:val="0"/>
    <w:rPr>
      <w:rFonts w:ascii="Bookman Old Style" w:hAnsi="Bookman Old Style"/>
      <w:lang w:val="zh-CN" w:eastAsia="zh-CN"/>
    </w:rPr>
  </w:style>
  <w:style w:type="character" w:customStyle="1" w:styleId="51">
    <w:name w:val="B1 Char"/>
    <w:link w:val="30"/>
    <w:qFormat/>
    <w:uiPriority w:val="0"/>
    <w:rPr>
      <w:rFonts w:ascii="Arial" w:hAnsi="Arial"/>
      <w:lang w:val="en-GB"/>
    </w:rPr>
  </w:style>
  <w:style w:type="paragraph" w:customStyle="1" w:styleId="52">
    <w:name w:val="3GPP_Header"/>
    <w:basedOn w:val="1"/>
    <w:qFormat/>
    <w:uiPriority w:val="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53">
    <w:name w:val="CR Cover Page Zchn"/>
    <w:link w:val="39"/>
    <w:qFormat/>
    <w:uiPriority w:val="0"/>
    <w:rPr>
      <w:rFonts w:ascii="Arial" w:hAnsi="Arial"/>
      <w:lang w:val="en-GB" w:eastAsia="en-US"/>
    </w:rPr>
  </w:style>
  <w:style w:type="paragraph" w:styleId="54">
    <w:name w:val="List Paragraph"/>
    <w:basedOn w:val="1"/>
    <w:link w:val="55"/>
    <w:qFormat/>
    <w:uiPriority w:val="34"/>
    <w:pPr>
      <w:ind w:left="720"/>
      <w:contextualSpacing/>
    </w:pPr>
  </w:style>
  <w:style w:type="character" w:customStyle="1" w:styleId="55">
    <w:name w:val="列表段落 字符"/>
    <w:link w:val="54"/>
    <w:qFormat/>
    <w:locked/>
    <w:uiPriority w:val="34"/>
    <w:rPr>
      <w:lang w:val="en-GB" w:eastAsia="en-US"/>
    </w:rPr>
  </w:style>
  <w:style w:type="table" w:customStyle="1" w:styleId="56">
    <w:name w:val="SGS Table Basic 11"/>
    <w:basedOn w:val="22"/>
    <w:qFormat/>
    <w:uiPriority w:val="0"/>
    <w:pPr>
      <w:spacing w:after="180"/>
    </w:pPr>
    <w:rPr>
      <w:rFonts w:ascii="Tms Rmn" w:hAnsi="Tms Rm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">
    <w:name w:val="SGS Table Basic 12"/>
    <w:basedOn w:val="22"/>
    <w:qFormat/>
    <w:uiPriority w:val="0"/>
    <w:pPr>
      <w:spacing w:after="180"/>
    </w:pPr>
    <w:rPr>
      <w:rFonts w:ascii="Tms Rmn" w:hAnsi="Tms Rm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8">
    <w:name w:val="Revision"/>
    <w:hidden/>
    <w:unhideWhenUsed/>
    <w:uiPriority w:val="99"/>
    <w:rPr>
      <w:rFonts w:ascii="Times New Roman" w:hAnsi="Times New Roman" w:cs="Times New Roman" w:eastAsiaTheme="minorEastAsia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5.xml"/><Relationship Id="rId8" Type="http://schemas.openxmlformats.org/officeDocument/2006/relationships/customXml" Target="../customXml/item4.xml"/><Relationship Id="rId7" Type="http://schemas.openxmlformats.org/officeDocument/2006/relationships/customXml" Target="../customXml/item3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6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5NUHHDQN7SK2-1476151046-25755</_dlc_DocId>
    <_dlc_DocIdUrl xmlns="f166a696-7b5b-4ccd-9f0c-ffde0cceec81">
      <Url>https://ericsson.sharepoint.com/sites/star/_layouts/15/DocIdRedir.aspx?ID=5NUHHDQN7SK2-1476151046-25755</Url>
      <Description>5NUHHDQN7SK2-1476151046-25755</Description>
    </_dlc_DocIdUrl>
    <Issue_x0020_in_x0020_OI_x0020_list_x0020__x0028_Y_x002f_N_x0029_ xmlns="611109f9-ed58-4498-a270-1fb2086a5321" xsi:nil="true"/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BFB5936-3824-453F-842F-94FD26EBF72F}">
  <ds:schemaRefs/>
</ds:datastoreItem>
</file>

<file path=customXml/itemProps2.xml><?xml version="1.0" encoding="utf-8"?>
<ds:datastoreItem xmlns:ds="http://schemas.openxmlformats.org/officeDocument/2006/customXml" ds:itemID="{E09C75C8-3F6D-4303-9C4A-650FB3A3209D}">
  <ds:schemaRefs/>
</ds:datastoreItem>
</file>

<file path=customXml/itemProps3.xml><?xml version="1.0" encoding="utf-8"?>
<ds:datastoreItem xmlns:ds="http://schemas.openxmlformats.org/officeDocument/2006/customXml" ds:itemID="{2DE1A9EF-6550-4065-8DA1-F17DC3D217F9}">
  <ds:schemaRefs/>
</ds:datastoreItem>
</file>

<file path=customXml/itemProps4.xml><?xml version="1.0" encoding="utf-8"?>
<ds:datastoreItem xmlns:ds="http://schemas.openxmlformats.org/officeDocument/2006/customXml" ds:itemID="{4BBA61F2-BD72-46EE-BD63-089E60C65510}">
  <ds:schemaRefs/>
</ds:datastoreItem>
</file>

<file path=customXml/itemProps5.xml><?xml version="1.0" encoding="utf-8"?>
<ds:datastoreItem xmlns:ds="http://schemas.openxmlformats.org/officeDocument/2006/customXml" ds:itemID="{B992D421-6592-484C-8BB6-EFD02FE6444B}">
  <ds:schemaRefs/>
</ds:datastoreItem>
</file>

<file path=customXml/itemProps6.xml><?xml version="1.0" encoding="utf-8"?>
<ds:datastoreItem xmlns:ds="http://schemas.openxmlformats.org/officeDocument/2006/customXml" ds:itemID="{EB28002F-6916-489F-B757-F49EC070305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418</Words>
  <Characters>2388</Characters>
  <Lines>19</Lines>
  <Paragraphs>5</Paragraphs>
  <TotalTime>12</TotalTime>
  <ScaleCrop>false</ScaleCrop>
  <LinksUpToDate>false</LinksUpToDate>
  <CharactersWithSpaces>2801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2025-02-20T10:36:00Z</dcterms:created>
  <dc:creator>Huang, Rui</dc:creator>
  <cp:lastModifiedBy>ZTE-Chenchen</cp:lastModifiedBy>
  <dcterms:modified xsi:type="dcterms:W3CDTF">2025-02-21T09:53:38Z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5bdcf0ca-2328-45d2-bb19-f894806178e8</vt:lpwstr>
  </property>
  <property fmtid="{D5CDD505-2E9C-101B-9397-08002B2CF9AE}" pid="4" name="EriCOLLProjects">
    <vt:lpwstr/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NSCPROP_SA">
    <vt:lpwstr>C:\Users\aby.abraham\Desktop\Draft R2-2111472 LS_ConcurrentMG_v03_Nokia.docx</vt:lpwstr>
  </property>
  <property fmtid="{D5CDD505-2E9C-101B-9397-08002B2CF9AE}" pid="14" name="MSIP_Label_29c70fe5-2ee7-4fdf-9966-598577a1d1a6_Enabled">
    <vt:lpwstr>true</vt:lpwstr>
  </property>
  <property fmtid="{D5CDD505-2E9C-101B-9397-08002B2CF9AE}" pid="15" name="MSIP_Label_29c70fe5-2ee7-4fdf-9966-598577a1d1a6_SetDate">
    <vt:lpwstr>2022-01-20T21:36:08Z</vt:lpwstr>
  </property>
  <property fmtid="{D5CDD505-2E9C-101B-9397-08002B2CF9AE}" pid="16" name="MSIP_Label_29c70fe5-2ee7-4fdf-9966-598577a1d1a6_Method">
    <vt:lpwstr>Privileged</vt:lpwstr>
  </property>
  <property fmtid="{D5CDD505-2E9C-101B-9397-08002B2CF9AE}" pid="17" name="MSIP_Label_29c70fe5-2ee7-4fdf-9966-598577a1d1a6_Name">
    <vt:lpwstr>Personal</vt:lpwstr>
  </property>
  <property fmtid="{D5CDD505-2E9C-101B-9397-08002B2CF9AE}" pid="18" name="MSIP_Label_29c70fe5-2ee7-4fdf-9966-598577a1d1a6_SiteId">
    <vt:lpwstr>98e9ba89-e1a1-4e38-9007-8bdabc25de1d</vt:lpwstr>
  </property>
  <property fmtid="{D5CDD505-2E9C-101B-9397-08002B2CF9AE}" pid="19" name="MSIP_Label_29c70fe5-2ee7-4fdf-9966-598577a1d1a6_ActionId">
    <vt:lpwstr>8134657f-ae1d-419c-8b6e-30ebf2590f68</vt:lpwstr>
  </property>
  <property fmtid="{D5CDD505-2E9C-101B-9397-08002B2CF9AE}" pid="20" name="MSIP_Label_29c70fe5-2ee7-4fdf-9966-598577a1d1a6_ContentBits">
    <vt:lpwstr>0</vt:lpwstr>
  </property>
  <property fmtid="{D5CDD505-2E9C-101B-9397-08002B2CF9AE}" pid="21" name="_2015_ms_pID_725343">
    <vt:lpwstr>(3)VqLW3P9eyMLJ8MFBUp+TsEeBaAJVRif5UnC99iGMeJhWxmHulVxuCBiUhar9KoOKgtcuVBLN
lTzdkE7rePg8Sc4/4wUNMOq3lqpUW6ZrxWQsALxwnOWMb4P38+Cf1jfzB2lgBkOm7DplUVi3
u4by/SHgvxqmVVV126jRn5PdExiwuq0oe+VScVwPo4rCHB+2Lgfii0A6LSAO8/ydePi1zFfq
lCXy0j55/OYAn/Lvbo</vt:lpwstr>
  </property>
  <property fmtid="{D5CDD505-2E9C-101B-9397-08002B2CF9AE}" pid="22" name="_2015_ms_pID_7253431">
    <vt:lpwstr>cD9VFRqzWM0SMisTkeEZVLFvdw7Zn1nzJ4JBVlk6qoVY6TL+0GU5wa
IR3jAAcVs3WeyiRCch1ASbJ9D/C+nUrqc2en+RLpBJ+Pll8OCWZv/TGxyRJvTzaoiCz6wtXP
VxjeJftMJyUVvwdKrWraUqY2w2afeXMfwwmQG+olz7ppdW2L7ym7KQBL3tTYkM0lIQV1P6hX
fIyTBCZIEwxuSsNOurlUuofPSKqbkwgW1hHn</vt:lpwstr>
  </property>
  <property fmtid="{D5CDD505-2E9C-101B-9397-08002B2CF9AE}" pid="23" name="_2015_ms_pID_7253432">
    <vt:lpwstr>XqB6qpDf1GCDg73D0CZV24I=</vt:lpwstr>
  </property>
  <property fmtid="{D5CDD505-2E9C-101B-9397-08002B2CF9AE}" pid="24" name="KSOProductBuildVer">
    <vt:lpwstr>2052-11.8.2.12085</vt:lpwstr>
  </property>
  <property fmtid="{D5CDD505-2E9C-101B-9397-08002B2CF9AE}" pid="25" name="ICV">
    <vt:lpwstr>F9FC842E9A424931BA1DEAE28DCBE389</vt:lpwstr>
  </property>
</Properties>
</file>